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E24444">
      <w:pPr>
        <w:spacing w:line="560" w:lineRule="exact"/>
        <w:jc w:val="center"/>
        <w:rPr>
          <w:rFonts w:hint="eastAsia" w:ascii="方正公文小标宋" w:hAnsi="方正公文小标宋" w:eastAsia="方正公文小标宋" w:cs="方正公文小标宋"/>
          <w:b/>
          <w:bCs/>
          <w:sz w:val="36"/>
          <w:szCs w:val="36"/>
        </w:rPr>
      </w:pPr>
      <w:r>
        <w:rPr>
          <w:rFonts w:hint="eastAsia" w:ascii="方正公文小标宋" w:hAnsi="方正公文小标宋" w:eastAsia="方正公文小标宋" w:cs="方正公文小标宋"/>
          <w:b/>
          <w:bCs/>
          <w:sz w:val="36"/>
          <w:szCs w:val="36"/>
        </w:rPr>
        <w:t>南宁市卫生学校关于相思湖校区平安校园建设——南门道闸门禁系统项目参数及价格公开征集公告</w:t>
      </w:r>
    </w:p>
    <w:p w14:paraId="5561CD4D">
      <w:pPr>
        <w:spacing w:line="560" w:lineRule="exact"/>
        <w:ind w:firstLine="602" w:firstLineChars="200"/>
        <w:jc w:val="center"/>
        <w:rPr>
          <w:rFonts w:hint="eastAsia"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（货物类）</w:t>
      </w:r>
    </w:p>
    <w:p w14:paraId="240DF2B1">
      <w:pPr>
        <w:spacing w:line="560" w:lineRule="exact"/>
        <w:jc w:val="center"/>
      </w:pPr>
    </w:p>
    <w:p w14:paraId="46244379">
      <w:pPr>
        <w:spacing w:line="560" w:lineRule="exact"/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根据学校</w:t>
      </w:r>
      <w:r>
        <w:rPr>
          <w:rFonts w:hint="eastAsia" w:ascii="仿宋" w:hAnsi="仿宋" w:eastAsia="仿宋" w:cs="仿宋"/>
          <w:sz w:val="30"/>
          <w:szCs w:val="30"/>
          <w:u w:val="single"/>
        </w:rPr>
        <w:t>相思湖校区平安校园建设——南门道闸门禁系统</w:t>
      </w:r>
      <w:r>
        <w:rPr>
          <w:rFonts w:hint="eastAsia" w:ascii="仿宋" w:hAnsi="仿宋" w:eastAsia="仿宋" w:cs="仿宋"/>
          <w:sz w:val="30"/>
          <w:szCs w:val="30"/>
        </w:rPr>
        <w:t>项目采购工作需要，现拟对</w:t>
      </w:r>
      <w:r>
        <w:rPr>
          <w:rFonts w:hint="eastAsia" w:ascii="仿宋" w:hAnsi="仿宋" w:eastAsia="仿宋" w:cs="仿宋"/>
          <w:sz w:val="30"/>
          <w:szCs w:val="30"/>
          <w:u w:val="single"/>
        </w:rPr>
        <w:t>相思湖校区平安校园建设——南门道闸门禁系统</w:t>
      </w:r>
      <w:r>
        <w:rPr>
          <w:rFonts w:hint="eastAsia" w:ascii="仿宋" w:hAnsi="仿宋" w:eastAsia="仿宋" w:cs="仿宋"/>
          <w:sz w:val="30"/>
          <w:szCs w:val="30"/>
        </w:rPr>
        <w:t>项目公开进行参数及价格的征集，诚邀符合条件的生产企业或供应商前来报名参与。</w:t>
      </w:r>
    </w:p>
    <w:p w14:paraId="783D4442">
      <w:pPr>
        <w:spacing w:line="560" w:lineRule="exact"/>
        <w:ind w:firstLine="602" w:firstLineChars="200"/>
        <w:rPr>
          <w:rFonts w:hint="eastAsia"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一、项目概况</w:t>
      </w:r>
    </w:p>
    <w:p w14:paraId="617086DE">
      <w:pPr>
        <w:spacing w:line="560" w:lineRule="exact"/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南宁市卫生学校为</w:t>
      </w:r>
      <w:r>
        <w:rPr>
          <w:rFonts w:hint="eastAsia" w:ascii="仿宋" w:hAnsi="仿宋" w:eastAsia="仿宋" w:cs="宋体"/>
          <w:sz w:val="30"/>
          <w:szCs w:val="30"/>
        </w:rPr>
        <w:t>实现车辆车牌自动识别、人员权限分级管理、进出记录全程可查、应急远程管控，提升校园安全防范标准化、智能化水平，保障师生人身与校园财产安全</w:t>
      </w:r>
      <w:r>
        <w:rPr>
          <w:rFonts w:hint="eastAsia" w:ascii="仿宋" w:hAnsi="仿宋" w:eastAsia="仿宋" w:cs="仿宋"/>
          <w:sz w:val="30"/>
          <w:szCs w:val="30"/>
        </w:rPr>
        <w:t>，</w:t>
      </w:r>
      <w:r>
        <w:rPr>
          <w:rFonts w:hint="eastAsia" w:ascii="仿宋" w:hAnsi="仿宋" w:eastAsia="仿宋" w:cs="宋体"/>
          <w:sz w:val="30"/>
          <w:szCs w:val="30"/>
        </w:rPr>
        <w:t>经学校研究决定，实施相思湖校区南门新增车辆道闸及门禁系统项目</w:t>
      </w:r>
      <w:r>
        <w:rPr>
          <w:rFonts w:hint="eastAsia" w:ascii="仿宋" w:hAnsi="仿宋" w:eastAsia="仿宋" w:cs="仿宋"/>
          <w:sz w:val="30"/>
          <w:szCs w:val="30"/>
        </w:rPr>
        <w:t>。   </w:t>
      </w:r>
    </w:p>
    <w:p w14:paraId="34F2EC42">
      <w:pPr>
        <w:spacing w:line="560" w:lineRule="exact"/>
        <w:ind w:firstLine="602" w:firstLineChars="200"/>
        <w:rPr>
          <w:rFonts w:hint="eastAsia"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二、项目需求及控制价</w:t>
      </w:r>
    </w:p>
    <w:tbl>
      <w:tblPr>
        <w:tblStyle w:val="1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1062"/>
        <w:gridCol w:w="5964"/>
        <w:gridCol w:w="551"/>
        <w:gridCol w:w="534"/>
        <w:gridCol w:w="1209"/>
      </w:tblGrid>
      <w:tr w14:paraId="22B257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5E723F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序号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51C5A9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货物名称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18B803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采购需求（用途、功效等）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584035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单位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A3E122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数量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00B1D0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控制单价（元）</w:t>
            </w:r>
          </w:p>
        </w:tc>
      </w:tr>
      <w:tr w14:paraId="738D1B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E4C185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E0E6A8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广告道闸机 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FD7E9F">
            <w:pPr>
              <w:widowControl/>
              <w:spacing w:line="32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1、电源适配性 AC 220V±10% 50／60HZ；DC24V，15A；</w:t>
            </w:r>
          </w:p>
          <w:p w14:paraId="45EF4718">
            <w:pPr>
              <w:widowControl/>
              <w:spacing w:line="32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 xml:space="preserve">2、电机额定功率 180W； </w:t>
            </w:r>
          </w:p>
          <w:p w14:paraId="07873971">
            <w:pPr>
              <w:widowControl/>
              <w:spacing w:line="32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3、电机驱动 直流无刷电机；</w:t>
            </w:r>
          </w:p>
          <w:p w14:paraId="69B34FBB">
            <w:pPr>
              <w:widowControl/>
              <w:spacing w:line="32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4、机箱颜色 ；</w:t>
            </w:r>
          </w:p>
          <w:p w14:paraId="1F06B52B">
            <w:pPr>
              <w:widowControl/>
              <w:spacing w:line="32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5、外表工艺 喷粉烤漆；</w:t>
            </w:r>
          </w:p>
          <w:p w14:paraId="5F60EC3D">
            <w:pPr>
              <w:widowControl/>
              <w:spacing w:line="32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6、闸杆材质 铝型材；</w:t>
            </w:r>
          </w:p>
          <w:p w14:paraId="2453D427">
            <w:pPr>
              <w:widowControl/>
              <w:spacing w:line="32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7、遥控距离 空旷地带≤30m；</w:t>
            </w:r>
          </w:p>
          <w:p w14:paraId="3EFE968A">
            <w:pPr>
              <w:widowControl/>
              <w:spacing w:line="32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8、遥控频率 433MHz,学习码，最多独立配10个遥控码，防复制遥控器；</w:t>
            </w:r>
          </w:p>
          <w:p w14:paraId="47E1F2B7">
            <w:pPr>
              <w:widowControl/>
              <w:spacing w:line="32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9、机箱材质 冷轧钢板，T=1.5mm；</w:t>
            </w:r>
          </w:p>
          <w:p w14:paraId="4229345E">
            <w:pPr>
              <w:widowControl/>
              <w:spacing w:line="32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10、工作温度 -25℃～+75℃；</w:t>
            </w:r>
          </w:p>
          <w:p w14:paraId="41CAC47A">
            <w:pPr>
              <w:widowControl/>
              <w:spacing w:line="32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11、工作湿度 90%RH以下(无凝露)；</w:t>
            </w:r>
          </w:p>
          <w:p w14:paraId="1AE05D5B">
            <w:pPr>
              <w:widowControl/>
              <w:spacing w:line="32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12、防护等级 IP54；</w:t>
            </w:r>
          </w:p>
          <w:p w14:paraId="2C6A2827">
            <w:pPr>
              <w:widowControl/>
              <w:spacing w:line="32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13、机箱尺寸 1100×420×281mm；</w:t>
            </w:r>
          </w:p>
          <w:p w14:paraId="7F932D91">
            <w:pPr>
              <w:widowControl/>
              <w:spacing w:line="32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14、主机灯箱画面尺寸 994×364mm；</w:t>
            </w:r>
          </w:p>
          <w:p w14:paraId="4C4805DE">
            <w:pPr>
              <w:widowControl/>
              <w:spacing w:line="32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15、起落速度 3-6s可调；</w:t>
            </w:r>
          </w:p>
          <w:p w14:paraId="0215E899">
            <w:pPr>
              <w:widowControl/>
              <w:spacing w:line="32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16、主机包装尺寸 1120×440×320mm；</w:t>
            </w:r>
          </w:p>
          <w:p w14:paraId="1D88EBFB">
            <w:pPr>
              <w:widowControl/>
              <w:spacing w:line="32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17、主机重量(毛重) 48±1kg；</w:t>
            </w:r>
          </w:p>
          <w:p w14:paraId="28D1D115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18、使用寿命 ≥200W开关起落次数）。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4ED565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台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5D3119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  <w:t>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3168C5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  <w:t>9000</w:t>
            </w:r>
          </w:p>
        </w:tc>
      </w:tr>
      <w:tr w14:paraId="69575D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648705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9C80FE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网络交换机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0D5044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CCF8D2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个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72925D"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  <w:t>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65E037"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  <w:t>140</w:t>
            </w:r>
          </w:p>
        </w:tc>
      </w:tr>
      <w:tr w14:paraId="179BD9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9A5321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3</w:t>
            </w:r>
          </w:p>
          <w:p w14:paraId="5673FFCA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28CA51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车牌识别管理软件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E6486A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24"/>
              </w:rPr>
              <w:t>需接入学校大门原有门禁系统平台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74CCD1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套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E2649C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1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3AAA15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0</w:t>
            </w:r>
          </w:p>
        </w:tc>
      </w:tr>
      <w:tr w14:paraId="7BF70C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FD405D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4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9B10AB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车牌识别一体机：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DB44A4">
            <w:pPr>
              <w:spacing w:line="24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1、箱体材质: 箱体钣金1.2mm,立柱钣金1.5mm；</w:t>
            </w:r>
          </w:p>
          <w:p w14:paraId="1FE51D39">
            <w:pPr>
              <w:spacing w:line="24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2、外观尺寸: 340×200×1600 mm；</w:t>
            </w:r>
          </w:p>
          <w:p w14:paraId="339EDEC9">
            <w:pPr>
              <w:spacing w:line="24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3、外表工艺: 喷粉；</w:t>
            </w:r>
          </w:p>
          <w:p w14:paraId="70D59F01">
            <w:pPr>
              <w:spacing w:line="24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4、工作环境温度: -25℃~+65℃；</w:t>
            </w:r>
          </w:p>
          <w:p w14:paraId="4E41EF56">
            <w:pPr>
              <w:spacing w:line="24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5、相对湿度: 10%～90%RH，无结露；</w:t>
            </w:r>
          </w:p>
          <w:p w14:paraId="52878764">
            <w:pPr>
              <w:spacing w:line="24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6、箱体防水等级: IP54；</w:t>
            </w:r>
          </w:p>
          <w:p w14:paraId="3461D64E">
            <w:pPr>
              <w:spacing w:line="24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7、电源电压: AC 220V 50Hz；</w:t>
            </w:r>
            <w:r>
              <w:rPr>
                <w:rFonts w:hint="eastAsia" w:ascii="仿宋" w:hAnsi="仿宋" w:eastAsia="仿宋" w:cs="仿宋"/>
                <w:bCs/>
                <w:sz w:val="24"/>
              </w:rPr>
              <w:br w:type="textWrapping"/>
            </w:r>
            <w:r>
              <w:rPr>
                <w:rFonts w:hint="eastAsia" w:ascii="仿宋" w:hAnsi="仿宋" w:eastAsia="仿宋" w:cs="仿宋"/>
                <w:bCs/>
                <w:sz w:val="24"/>
              </w:rPr>
              <w:t>8、补光灯: AC 220V 50Hz 功率11W发光角度30° 正白色温5500K-6200K 1300LM（流明）；</w:t>
            </w:r>
          </w:p>
          <w:p w14:paraId="2867330C">
            <w:pPr>
              <w:spacing w:line="24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9、显示屏类型: LED双色红绿四行显示，P4.75RF-16S-6432-6432 ；</w:t>
            </w:r>
          </w:p>
          <w:p w14:paraId="1A1E1C7E">
            <w:pPr>
              <w:spacing w:line="24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10、规格尺寸: 304×152×15mm；</w:t>
            </w:r>
          </w:p>
          <w:p w14:paraId="1037CC0B">
            <w:pPr>
              <w:spacing w:line="24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11、像素点间距: 4.75mm；</w:t>
            </w:r>
          </w:p>
          <w:p w14:paraId="479B734C">
            <w:pPr>
              <w:spacing w:line="24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12、电源要求: 4.8～5.2V 3A；</w:t>
            </w:r>
          </w:p>
          <w:p w14:paraId="31A31861">
            <w:pPr>
              <w:spacing w:line="24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13、语音: 可播报系统各种操作提示，开机欢迎提示等，特殊场合可设置人性化播报和显示的内容；14、通讯方式: TCP/IP；</w:t>
            </w:r>
          </w:p>
          <w:p w14:paraId="58EB1F0C">
            <w:pPr>
              <w:spacing w:line="24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 xml:space="preserve">15、存储容量: 黑白名单数量支持最大5万条， 脱机记录最大9000条，整机最大功率: 90W 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）。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12F915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套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EA7FC9"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  <w:t>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34FDBD"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  <w:t>4500</w:t>
            </w:r>
          </w:p>
        </w:tc>
      </w:tr>
      <w:tr w14:paraId="366385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AA9090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5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78B575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车辆检测器 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D63ED7">
            <w:pPr>
              <w:spacing w:line="240" w:lineRule="exact"/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1</w:t>
            </w: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lang w:bidi="ar"/>
              </w:rPr>
              <w:t>、工作电压: AC230/110V±10%50HZ;</w:t>
            </w:r>
          </w:p>
          <w:p w14:paraId="0835A92F">
            <w:pPr>
              <w:spacing w:line="240" w:lineRule="exact"/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lang w:bidi="ar"/>
              </w:rPr>
              <w:t>2、额定功率: 4.5W;</w:t>
            </w:r>
          </w:p>
          <w:p w14:paraId="0DA812EB">
            <w:pPr>
              <w:spacing w:line="240" w:lineRule="exact"/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lang w:bidi="ar"/>
              </w:rPr>
              <w:t>3、工作频率: 20KHz~170KHz;</w:t>
            </w:r>
          </w:p>
          <w:p w14:paraId="03EA869C">
            <w:pPr>
              <w:spacing w:line="240" w:lineRule="exact"/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lang w:bidi="ar"/>
              </w:rPr>
              <w:t>4、反应时间: 100ms;</w:t>
            </w:r>
          </w:p>
          <w:p w14:paraId="573ABBDA">
            <w:pPr>
              <w:spacing w:line="240" w:lineRule="exact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lang w:bidi="ar"/>
              </w:rPr>
              <w:t>5、灵敏度: 三级可调)。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458858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个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8C4BE6"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  <w:t>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486550"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  <w:t>360</w:t>
            </w:r>
          </w:p>
        </w:tc>
      </w:tr>
      <w:tr w14:paraId="17A236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0E1E58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6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AECD6A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摆闸：单机芯摆闸 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0B453C">
            <w:pPr>
              <w:spacing w:line="24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1、产品尺寸: 裸机：1200*180*1000mm（误差±2mm）;</w:t>
            </w:r>
          </w:p>
          <w:p w14:paraId="6B6BCDA9">
            <w:pPr>
              <w:spacing w:line="24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2、包装：1260*240*1060mm（误差±5mm）;</w:t>
            </w:r>
          </w:p>
          <w:p w14:paraId="21BDB572">
            <w:pPr>
              <w:spacing w:line="24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3、通讯接口: RS232，选配RS485;</w:t>
            </w:r>
          </w:p>
          <w:p w14:paraId="05E6A35F">
            <w:pPr>
              <w:spacing w:line="24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 xml:space="preserve">4、机箱: 不锈钢 304,1.2 毫米/1.0 毫米; </w:t>
            </w:r>
          </w:p>
          <w:p w14:paraId="7C161587">
            <w:pPr>
              <w:spacing w:line="24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5、包装方式: 纸箱+内胆+木底板；</w:t>
            </w:r>
          </w:p>
          <w:p w14:paraId="7644C7B6">
            <w:pPr>
              <w:spacing w:line="24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6、摆臂: 抱箍式固定：透明亚克力（标配）、不锈钢(选配)；</w:t>
            </w:r>
          </w:p>
          <w:p w14:paraId="47AE9212">
            <w:pPr>
              <w:spacing w:line="24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7、侧封板: 单通道：4块，双机芯：2块；</w:t>
            </w:r>
          </w:p>
          <w:p w14:paraId="0F26873F">
            <w:pPr>
              <w:spacing w:line="24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8、驱动电机: 直流无刷电机；</w:t>
            </w:r>
          </w:p>
          <w:p w14:paraId="541F3308">
            <w:pPr>
              <w:spacing w:line="24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9、电源电压: AC220±10%V  50HZ；</w:t>
            </w:r>
          </w:p>
          <w:p w14:paraId="4BF5AE1F">
            <w:pPr>
              <w:spacing w:line="24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10、工作环境: 室内/室外；</w:t>
            </w:r>
          </w:p>
          <w:p w14:paraId="2B25AA8A">
            <w:pPr>
              <w:spacing w:line="24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11、工作温度: -20∽70°C（内部测试数据，环境温度低于-20°C需加装温控）；</w:t>
            </w:r>
          </w:p>
          <w:p w14:paraId="5F0C2A5A">
            <w:pPr>
              <w:spacing w:line="24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12、机芯寿命: 大于800万次（内部测试数据）；</w:t>
            </w:r>
          </w:p>
          <w:p w14:paraId="70C19DB4">
            <w:pPr>
              <w:spacing w:line="24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13、红外对射: 4对；</w:t>
            </w:r>
          </w:p>
          <w:p w14:paraId="4ECBE884">
            <w:pPr>
              <w:spacing w:line="24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14、通行速度: 常闭模式：30人/分钟；</w:t>
            </w:r>
          </w:p>
          <w:p w14:paraId="7FA3FFF8">
            <w:pPr>
              <w:spacing w:line="240" w:lineRule="exact"/>
              <w:rPr>
                <w:rFonts w:hint="eastAsia"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15、常开模式：50人/分钟；</w:t>
            </w:r>
          </w:p>
          <w:p w14:paraId="519FBC23">
            <w:pPr>
              <w:spacing w:line="240" w:lineRule="exact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Cs/>
                <w:sz w:val="24"/>
              </w:rPr>
              <w:t>16、开关门速度: 0.6∽10S（可调）。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016C0B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台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9AE053"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  <w:t>4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9CB394"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  <w:t>5300</w:t>
            </w:r>
          </w:p>
        </w:tc>
      </w:tr>
      <w:tr w14:paraId="7A0AF1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0D7D75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92D742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门禁一体机：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58CC13">
            <w:pPr>
              <w:spacing w:line="240" w:lineRule="exac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1.设备应采用8英寸IPS触摸液晶显示屏，分辨率不低于1280*800；</w:t>
            </w:r>
          </w:p>
          <w:p w14:paraId="0E99F196">
            <w:pPr>
              <w:spacing w:line="240" w:lineRule="exac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2.设备屏幕亮度应不低于400lux，以保证在强光下具备高可见度；</w:t>
            </w:r>
          </w:p>
          <w:p w14:paraId="42D5C48F">
            <w:pPr>
              <w:spacing w:line="240" w:lineRule="exac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3.设备应支持实时人脸检测，识别速度≤0.3s；</w:t>
            </w:r>
          </w:p>
          <w:p w14:paraId="1DE27D37">
            <w:pPr>
              <w:spacing w:line="240" w:lineRule="exac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4.设备应支持识别阈值调节，根据现场实际需求安全等级，平衡识别速度和准确度需求；</w:t>
            </w:r>
          </w:p>
          <w:p w14:paraId="14EA639A">
            <w:pPr>
              <w:spacing w:line="240" w:lineRule="exac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5.设备应支持活体防伪检测，采用双目光电硬件+活体识别算法,对打印高清人脸图片、照片、人脸图像视频以及各种材料面具的攻击，具有较强的防伪能力。使用照片或视频应不能进行有效识别；</w:t>
            </w:r>
          </w:p>
          <w:p w14:paraId="7EFBBC65">
            <w:pPr>
              <w:spacing w:line="240" w:lineRule="exac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6.设备应配备不小于200万像素的超低照度宽动态摄像头，可在逆光、阴影等环境下快速识别，支持50000 lux极端光照环境下清晰准确的识别人脸；</w:t>
            </w:r>
          </w:p>
          <w:p w14:paraId="1A776A67">
            <w:pPr>
              <w:spacing w:line="240" w:lineRule="exac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7.设备用户容量:≥50000人，禁止名单容量:≥500人，面部容量:≥50000人离线保存记录容量:≥150000条，并支持扩容；</w:t>
            </w:r>
          </w:p>
          <w:p w14:paraId="7239A0B2">
            <w:pPr>
              <w:spacing w:line="240" w:lineRule="exac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8.为保证产品使用流畅性，在设备内用户数量≥50000人时，人脸识别和系统操作响应时间应＜1秒；</w:t>
            </w:r>
          </w:p>
          <w:p w14:paraId="27D6BE1B">
            <w:pPr>
              <w:spacing w:line="240" w:lineRule="exac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9.设备应支持室外安装，设备外壳防尘防水防护等级不低于IP66，工作湿度≤93％；</w:t>
            </w:r>
          </w:p>
          <w:p w14:paraId="7447EBF2">
            <w:pPr>
              <w:spacing w:line="240" w:lineRule="exac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10.设备应能满足使用环境的要求,具备自加热功能，能够在极冷气温（-30℃）及极热气温（60℃）下正常工作；</w:t>
            </w:r>
          </w:p>
          <w:p w14:paraId="06339077">
            <w:pPr>
              <w:spacing w:line="240" w:lineRule="exac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11.设备应坚固耐用，机械结构应有足够的强度外壳防破坏能力应符合IK04要求，并且能够通过冲击试验和振动试验；</w:t>
            </w:r>
          </w:p>
          <w:p w14:paraId="0339C7ED">
            <w:pPr>
              <w:spacing w:line="240" w:lineRule="exac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12.设备应支持灵活的时间规则设置，可以定义的时间规则不小于50个，每个时间规则定义十个时间区间，支持不少于3个节假日设置，每个时间区间最多可以设置3个时间段，只要用户验证时的时间能够满足其中之一即为有效；</w:t>
            </w:r>
          </w:p>
          <w:p w14:paraId="5AB78665">
            <w:pPr>
              <w:spacing w:line="240" w:lineRule="exact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13.设备应支持设置通行模式可对闸机进出模式进行管控，支持通过干接点信号或RS485接口连接闸机进行控制。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ABAC7B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台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04C8B8"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  <w:t>4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95131C"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  <w:t>4680</w:t>
            </w:r>
          </w:p>
        </w:tc>
      </w:tr>
      <w:tr w14:paraId="1F7894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F14D93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39C6C3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配件：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8AEFD3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安装支架（4个）、防雨罩（4个）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1F21FA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套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677A17"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  <w:t>4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C3B160"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  <w:t>450</w:t>
            </w:r>
          </w:p>
        </w:tc>
      </w:tr>
      <w:tr w14:paraId="65D33E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EE9024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1C967C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工程线材辅材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C5F1FC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超五类网线（150米）、地感线圈（100米）、安全岛（4个</w:t>
            </w:r>
            <w:r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  <w:t>）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E10957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批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3042AC"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  <w:t>1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7A81D3"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  <w:t>3500</w:t>
            </w:r>
          </w:p>
        </w:tc>
      </w:tr>
      <w:tr w14:paraId="643109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02BCCB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11A4EB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安装调试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F097DF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设备安装、调试、培训、路面切割、路面恢复（50米）、网络布设、电源线布设(15O米)、含运、含税、含一年质保。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FF314E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项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1381BD"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  <w:t>1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64E1A4"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  <w:t>8000</w:t>
            </w:r>
          </w:p>
        </w:tc>
      </w:tr>
      <w:tr w14:paraId="047BBF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8" w:hRule="atLeast"/>
          <w:jc w:val="center"/>
        </w:trPr>
        <w:tc>
          <w:tcPr>
            <w:tcW w:w="0" w:type="auto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58748A">
            <w:pPr>
              <w:spacing w:line="320" w:lineRule="exact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人民币：控制总价（大写）：_</w:t>
            </w:r>
            <w:r>
              <w:rPr>
                <w:rFonts w:hint="eastAsia" w:ascii="仿宋" w:hAnsi="仿宋" w:eastAsia="仿宋" w:cs="仿宋"/>
                <w:sz w:val="30"/>
                <w:szCs w:val="30"/>
                <w:u w:val="single"/>
              </w:rPr>
              <w:t>_捌万壹仟贰佰贰拾元整_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（小写：¥</w:t>
            </w:r>
            <w:r>
              <w:rPr>
                <w:rFonts w:hint="eastAsia" w:ascii="仿宋" w:hAnsi="仿宋" w:eastAsia="仿宋" w:cs="仿宋"/>
                <w:sz w:val="30"/>
                <w:szCs w:val="30"/>
                <w:u w:val="single"/>
              </w:rPr>
              <w:t>__81220.00_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）          </w:t>
            </w:r>
          </w:p>
        </w:tc>
      </w:tr>
    </w:tbl>
    <w:p w14:paraId="1A63FFE5">
      <w:pPr>
        <w:spacing w:line="560" w:lineRule="exact"/>
        <w:ind w:firstLine="600" w:firstLineChars="200"/>
        <w:rPr>
          <w:rFonts w:hint="eastAsia"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本项目控制总价</w:t>
      </w:r>
      <w:r>
        <w:rPr>
          <w:rFonts w:hint="eastAsia" w:ascii="仿宋" w:hAnsi="仿宋" w:eastAsia="仿宋" w:cs="仿宋"/>
          <w:sz w:val="30"/>
          <w:szCs w:val="30"/>
          <w:u w:val="single"/>
        </w:rPr>
        <w:t>：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</w:rPr>
        <w:t>81220.00</w:t>
      </w:r>
      <w:r>
        <w:rPr>
          <w:rFonts w:hint="eastAsia" w:ascii="仿宋" w:hAnsi="仿宋" w:eastAsia="仿宋" w:cs="仿宋"/>
          <w:sz w:val="30"/>
          <w:szCs w:val="30"/>
          <w:u w:val="single"/>
        </w:rPr>
        <w:t>元</w:t>
      </w:r>
      <w:r>
        <w:rPr>
          <w:rFonts w:hint="eastAsia" w:ascii="仿宋" w:hAnsi="仿宋" w:eastAsia="仿宋" w:cs="仿宋"/>
          <w:sz w:val="30"/>
          <w:szCs w:val="30"/>
        </w:rPr>
        <w:t>。</w:t>
      </w:r>
    </w:p>
    <w:p w14:paraId="095CB648">
      <w:pPr>
        <w:spacing w:line="560" w:lineRule="exact"/>
        <w:ind w:firstLine="602" w:firstLineChars="200"/>
        <w:rPr>
          <w:rFonts w:hint="eastAsia"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三、需提交的材料</w:t>
      </w:r>
    </w:p>
    <w:p w14:paraId="44C9A393">
      <w:pPr>
        <w:spacing w:line="560" w:lineRule="exact"/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参与征集的供应商需按以下顺序准备并提交材料（格式自拟）：</w:t>
      </w:r>
    </w:p>
    <w:p w14:paraId="069519D2">
      <w:pPr>
        <w:spacing w:line="560" w:lineRule="exact"/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1.有效的营业执照复印件（需加盖公章）。</w:t>
      </w:r>
    </w:p>
    <w:p w14:paraId="210C317B">
      <w:pPr>
        <w:spacing w:line="560" w:lineRule="exact"/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2.项目需求及报价方案（</w:t>
      </w:r>
      <w:r>
        <w:rPr>
          <w:rFonts w:hint="eastAsia" w:ascii="仿宋" w:hAnsi="仿宋" w:eastAsia="仿宋" w:cs="仿宋"/>
          <w:color w:val="FF0000"/>
          <w:sz w:val="30"/>
          <w:szCs w:val="30"/>
        </w:rPr>
        <w:t>具体明细详见附件，</w:t>
      </w:r>
      <w:r>
        <w:rPr>
          <w:rFonts w:hint="eastAsia" w:ascii="仿宋" w:hAnsi="仿宋" w:eastAsia="仿宋" w:cs="仿宋"/>
          <w:sz w:val="30"/>
          <w:szCs w:val="30"/>
        </w:rPr>
        <w:t>单项报价不能超过项目控制单价，总价不能超过项目控制总价）。</w:t>
      </w:r>
    </w:p>
    <w:p w14:paraId="6BD30B41">
      <w:pPr>
        <w:spacing w:line="560" w:lineRule="exact"/>
        <w:ind w:firstLine="602" w:firstLineChars="200"/>
        <w:rPr>
          <w:rFonts w:hint="eastAsia"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四、参与征集单位资格要求</w:t>
      </w:r>
    </w:p>
    <w:p w14:paraId="1A63B912">
      <w:pPr>
        <w:spacing w:line="560" w:lineRule="exact"/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1.国内注册（指按国家有关规定要求注册的），依法能提供本次项目服务的供应商。</w:t>
      </w:r>
    </w:p>
    <w:p w14:paraId="7EBFB623">
      <w:pPr>
        <w:spacing w:line="560" w:lineRule="exact"/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2.本项目资格要求：满足《中华人民共和国政府采购法》第二十二条规定。</w:t>
      </w:r>
    </w:p>
    <w:p w14:paraId="1BBB4B50">
      <w:pPr>
        <w:spacing w:line="560" w:lineRule="exact"/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3.不接受联合体提交材料。</w:t>
      </w:r>
    </w:p>
    <w:p w14:paraId="7B44F36E">
      <w:pPr>
        <w:spacing w:line="560" w:lineRule="exact"/>
        <w:ind w:firstLine="602" w:firstLineChars="200"/>
        <w:rPr>
          <w:rFonts w:hint="eastAsia"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五、公告时间及提交方式</w:t>
      </w:r>
    </w:p>
    <w:p w14:paraId="1F3BCC15">
      <w:pPr>
        <w:spacing w:line="560" w:lineRule="exact"/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公告期限为本公告发布之日起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0"/>
          <w:szCs w:val="30"/>
          <w:u w:val="single"/>
        </w:rPr>
        <w:t>5</w:t>
      </w:r>
      <w:r>
        <w:rPr>
          <w:rFonts w:hint="eastAsia" w:ascii="仿宋" w:hAnsi="仿宋" w:eastAsia="仿宋" w:cs="仿宋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0"/>
          <w:szCs w:val="30"/>
        </w:rPr>
        <w:t>个工作日。请意向单位于2026年3月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30</w:t>
      </w:r>
      <w:r>
        <w:rPr>
          <w:rFonts w:hint="eastAsia" w:ascii="仿宋" w:hAnsi="仿宋" w:eastAsia="仿宋" w:cs="仿宋"/>
          <w:sz w:val="30"/>
          <w:szCs w:val="30"/>
        </w:rPr>
        <w:t>日上午9:00前将所需提供的征集材料一式</w:t>
      </w:r>
      <w:r>
        <w:rPr>
          <w:rFonts w:hint="eastAsia" w:ascii="仿宋" w:hAnsi="仿宋" w:eastAsia="仿宋" w:cs="仿宋"/>
          <w:sz w:val="30"/>
          <w:szCs w:val="30"/>
          <w:u w:val="single"/>
        </w:rPr>
        <w:t>3</w:t>
      </w:r>
      <w:r>
        <w:rPr>
          <w:rFonts w:hint="eastAsia" w:ascii="仿宋" w:hAnsi="仿宋" w:eastAsia="仿宋" w:cs="仿宋"/>
          <w:sz w:val="30"/>
          <w:szCs w:val="30"/>
        </w:rPr>
        <w:t>份装入档案袋封密，并在密封袋四周盖章，档案袋上注明项目名称、报名单位、联系人、联系方式并加盖单位公章，报送至南宁市西乡塘区罗文大道16号南宁市卫生学校，如邮寄请联系后勤保障科（安全保卫科），联系人：李乾阳，联系电话：0771-3370620。请将报价方案电子版于公告期限截止前发送至邮箱：nnswxhqbzk@163.com。</w:t>
      </w:r>
    </w:p>
    <w:p w14:paraId="541104B0">
      <w:pPr>
        <w:spacing w:line="560" w:lineRule="exact"/>
        <w:ind w:firstLine="602" w:firstLineChars="200"/>
        <w:rPr>
          <w:rFonts w:hint="eastAsia"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备注：除营业执照复印件、相关资质证书复印件外，报价方案不能出现报名公司名称，否则作无效处理。</w:t>
      </w:r>
    </w:p>
    <w:p w14:paraId="2BEDC395">
      <w:pPr>
        <w:spacing w:line="560" w:lineRule="exact"/>
        <w:ind w:firstLine="602" w:firstLineChars="200"/>
        <w:rPr>
          <w:rFonts w:hint="eastAsia"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六、其他说明</w:t>
      </w:r>
    </w:p>
    <w:p w14:paraId="5B74F754">
      <w:pPr>
        <w:spacing w:line="560" w:lineRule="exact"/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1.本次市场征集仅为我校了解市场情况、收集信息之用，不构成任何采购承诺，不作为后续招标、谈判或询价的唯一依据。我校无需对所有提交材料的供应商作出回应。  </w:t>
      </w:r>
    </w:p>
    <w:p w14:paraId="3141474E">
      <w:pPr>
        <w:spacing w:line="560" w:lineRule="exact"/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2.所提交材料恕不退还，我校承诺对商业信息予以保密。  </w:t>
      </w:r>
    </w:p>
    <w:p w14:paraId="3059437E">
      <w:pPr>
        <w:spacing w:line="560" w:lineRule="exact"/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3.供应商应对所提供资料的真实性、合法性承担法律责任。如发现虚假信息，将取消其参与资格。</w:t>
      </w:r>
    </w:p>
    <w:p w14:paraId="6B7F0F8A">
      <w:pPr>
        <w:spacing w:line="560" w:lineRule="exact"/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4.</w:t>
      </w:r>
      <w:r>
        <w:rPr>
          <w:rFonts w:hint="eastAsia" w:ascii="仿宋" w:hAnsi="仿宋" w:eastAsia="仿宋" w:cs="仿宋"/>
          <w:color w:val="0000FF"/>
          <w:sz w:val="30"/>
          <w:szCs w:val="30"/>
        </w:rPr>
        <w:t>在征集期间，我校可能根据项目需要要求供应商进行补充说明，敬请配合。</w:t>
      </w:r>
    </w:p>
    <w:p w14:paraId="04840803">
      <w:pPr>
        <w:spacing w:line="560" w:lineRule="exact"/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5.未按要求提交资料或超期者视为自动放弃。</w:t>
      </w:r>
    </w:p>
    <w:p w14:paraId="58341DB3">
      <w:pPr>
        <w:spacing w:line="560" w:lineRule="exact"/>
        <w:ind w:firstLine="602" w:firstLineChars="200"/>
        <w:rPr>
          <w:rFonts w:hint="eastAsia"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六、对本次公告提出询问，请按以下方式联系:</w:t>
      </w:r>
    </w:p>
    <w:p w14:paraId="62644839">
      <w:pPr>
        <w:spacing w:line="560" w:lineRule="exact"/>
        <w:ind w:firstLine="600" w:firstLineChars="20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项目归口管理部门</w:t>
      </w:r>
      <w:r>
        <w:rPr>
          <w:rFonts w:hint="eastAsia" w:ascii="仿宋" w:hAnsi="仿宋" w:eastAsia="仿宋" w:cs="仿宋"/>
          <w:color w:val="auto"/>
          <w:sz w:val="30"/>
          <w:szCs w:val="30"/>
          <w:u w:val="single"/>
        </w:rPr>
        <w:t>后勤保障科（安全保卫科）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，联系人：</w:t>
      </w:r>
      <w:r>
        <w:rPr>
          <w:rFonts w:hint="eastAsia" w:ascii="仿宋" w:hAnsi="仿宋" w:eastAsia="仿宋" w:cs="仿宋"/>
          <w:color w:val="auto"/>
          <w:sz w:val="30"/>
          <w:szCs w:val="30"/>
          <w:u w:val="single"/>
        </w:rPr>
        <w:t>李乾阳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，联系电话：0771-3370620。联系地址：南宁市西乡塘区罗文大道16号南宁市卫生学校</w:t>
      </w:r>
    </w:p>
    <w:p w14:paraId="3C3397A3">
      <w:pPr>
        <w:spacing w:line="560" w:lineRule="exact"/>
        <w:rPr>
          <w:rFonts w:hint="eastAsia" w:ascii="仿宋" w:hAnsi="仿宋" w:eastAsia="仿宋" w:cs="仿宋"/>
          <w:sz w:val="30"/>
          <w:szCs w:val="30"/>
        </w:rPr>
      </w:pPr>
    </w:p>
    <w:p w14:paraId="224D1565">
      <w:pPr>
        <w:spacing w:line="560" w:lineRule="exact"/>
        <w:ind w:firstLine="600" w:firstLineChars="200"/>
        <w:rPr>
          <w:rFonts w:hint="eastAsia" w:ascii="仿宋" w:hAnsi="仿宋" w:eastAsia="仿宋" w:cs="仿宋"/>
          <w:color w:val="FF0000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附件：南宁市卫生学校相思湖校区平安校园建设——南门道闸门禁系统项目响应参数及报价方案</w:t>
      </w:r>
    </w:p>
    <w:p w14:paraId="023A7A9E">
      <w:pPr>
        <w:spacing w:line="560" w:lineRule="exact"/>
        <w:ind w:firstLine="5100" w:firstLineChars="1700"/>
        <w:rPr>
          <w:rFonts w:hint="eastAsia" w:ascii="仿宋" w:hAnsi="仿宋" w:eastAsia="仿宋" w:cs="仿宋"/>
          <w:sz w:val="30"/>
          <w:szCs w:val="30"/>
        </w:rPr>
      </w:pPr>
    </w:p>
    <w:p w14:paraId="187EB859">
      <w:pPr>
        <w:spacing w:line="560" w:lineRule="exact"/>
        <w:rPr>
          <w:rFonts w:hint="eastAsia" w:ascii="仿宋" w:hAnsi="仿宋" w:eastAsia="仿宋" w:cs="仿宋"/>
          <w:sz w:val="30"/>
          <w:szCs w:val="30"/>
        </w:rPr>
      </w:pPr>
    </w:p>
    <w:p w14:paraId="5072E39C">
      <w:pPr>
        <w:spacing w:line="560" w:lineRule="exact"/>
        <w:rPr>
          <w:rFonts w:hint="eastAsia" w:ascii="仿宋" w:hAnsi="仿宋" w:eastAsia="仿宋" w:cs="仿宋"/>
          <w:sz w:val="30"/>
          <w:szCs w:val="30"/>
        </w:rPr>
      </w:pPr>
    </w:p>
    <w:p w14:paraId="66206EF9">
      <w:pPr>
        <w:wordWrap w:val="0"/>
        <w:spacing w:line="560" w:lineRule="exact"/>
        <w:jc w:val="right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</w:rPr>
        <w:t>南宁市卫生学校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</w:t>
      </w:r>
    </w:p>
    <w:p w14:paraId="080ADDF2">
      <w:pPr>
        <w:spacing w:line="560" w:lineRule="exact"/>
        <w:jc w:val="righ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2026年3月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20</w:t>
      </w:r>
      <w:r>
        <w:rPr>
          <w:rFonts w:hint="eastAsia" w:ascii="仿宋" w:hAnsi="仿宋" w:eastAsia="仿宋" w:cs="仿宋"/>
          <w:sz w:val="30"/>
          <w:szCs w:val="30"/>
        </w:rPr>
        <w:t>日</w:t>
      </w:r>
    </w:p>
    <w:p w14:paraId="23F150CD">
      <w:pPr>
        <w:spacing w:line="560" w:lineRule="exact"/>
        <w:ind w:left="5400" w:hanging="5400" w:hangingChars="1800"/>
        <w:rPr>
          <w:rFonts w:hint="eastAsia" w:ascii="仿宋" w:hAnsi="仿宋" w:eastAsia="仿宋" w:cs="仿宋"/>
          <w:sz w:val="30"/>
          <w:szCs w:val="30"/>
        </w:rPr>
      </w:pPr>
    </w:p>
    <w:p w14:paraId="7BB591AD">
      <w:pPr>
        <w:spacing w:line="560" w:lineRule="exact"/>
        <w:ind w:left="5400" w:hanging="5400" w:hangingChars="1800"/>
        <w:rPr>
          <w:rFonts w:hint="eastAsia" w:ascii="仿宋" w:hAnsi="仿宋" w:eastAsia="仿宋" w:cs="仿宋"/>
          <w:sz w:val="30"/>
          <w:szCs w:val="30"/>
        </w:rPr>
      </w:pPr>
    </w:p>
    <w:p w14:paraId="7FA28571">
      <w:pPr>
        <w:pStyle w:val="2"/>
        <w:rPr>
          <w:rFonts w:hint="eastAsia" w:ascii="仿宋" w:hAnsi="仿宋" w:eastAsia="仿宋" w:cs="仿宋"/>
          <w:sz w:val="30"/>
          <w:szCs w:val="30"/>
        </w:rPr>
      </w:pPr>
    </w:p>
    <w:p w14:paraId="18E639F6">
      <w:pPr>
        <w:pStyle w:val="2"/>
        <w:rPr>
          <w:rFonts w:hint="eastAsia" w:ascii="仿宋" w:hAnsi="仿宋" w:eastAsia="仿宋" w:cs="仿宋"/>
          <w:sz w:val="30"/>
          <w:szCs w:val="30"/>
        </w:rPr>
      </w:pPr>
    </w:p>
    <w:p w14:paraId="534A5A39">
      <w:pPr>
        <w:spacing w:line="560" w:lineRule="exact"/>
        <w:ind w:left="5400" w:hanging="5400" w:hangingChars="1800"/>
        <w:rPr>
          <w:rFonts w:hint="eastAsia" w:ascii="仿宋" w:hAnsi="仿宋" w:eastAsia="仿宋" w:cs="仿宋"/>
          <w:sz w:val="30"/>
          <w:szCs w:val="30"/>
        </w:rPr>
      </w:pPr>
    </w:p>
    <w:p w14:paraId="66741DF6">
      <w:pPr>
        <w:pStyle w:val="2"/>
        <w:rPr>
          <w:rFonts w:hint="eastAsia" w:ascii="仿宋" w:hAnsi="仿宋" w:eastAsia="仿宋" w:cs="仿宋"/>
          <w:sz w:val="30"/>
          <w:szCs w:val="30"/>
        </w:rPr>
      </w:pPr>
    </w:p>
    <w:p w14:paraId="0FAE5DBB">
      <w:pPr>
        <w:pStyle w:val="2"/>
        <w:rPr>
          <w:rFonts w:hint="eastAsia" w:ascii="仿宋" w:hAnsi="仿宋" w:eastAsia="仿宋" w:cs="仿宋"/>
          <w:sz w:val="30"/>
          <w:szCs w:val="30"/>
        </w:rPr>
      </w:pPr>
    </w:p>
    <w:p w14:paraId="2F4E8FF9">
      <w:pPr>
        <w:pStyle w:val="2"/>
        <w:rPr>
          <w:rFonts w:hint="eastAsia" w:ascii="仿宋" w:hAnsi="仿宋" w:eastAsia="仿宋" w:cs="仿宋"/>
          <w:sz w:val="30"/>
          <w:szCs w:val="30"/>
        </w:rPr>
      </w:pPr>
    </w:p>
    <w:p w14:paraId="73F61068">
      <w:pPr>
        <w:pStyle w:val="2"/>
        <w:rPr>
          <w:rFonts w:hint="eastAsia" w:ascii="仿宋" w:hAnsi="仿宋" w:eastAsia="仿宋" w:cs="仿宋"/>
          <w:sz w:val="30"/>
          <w:szCs w:val="30"/>
        </w:rPr>
      </w:pPr>
    </w:p>
    <w:p w14:paraId="41E05487">
      <w:pPr>
        <w:spacing w:line="560" w:lineRule="exact"/>
        <w:ind w:left="5400" w:hanging="5400" w:hangingChars="1800"/>
        <w:rPr>
          <w:rFonts w:hint="eastAsia" w:ascii="仿宋" w:hAnsi="仿宋" w:eastAsia="仿宋" w:cs="仿宋"/>
          <w:sz w:val="30"/>
          <w:szCs w:val="30"/>
        </w:rPr>
      </w:pPr>
    </w:p>
    <w:p w14:paraId="56178480">
      <w:pPr>
        <w:spacing w:line="560" w:lineRule="exac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附件：</w:t>
      </w:r>
    </w:p>
    <w:p w14:paraId="5F430AF3">
      <w:pPr>
        <w:spacing w:line="560" w:lineRule="exact"/>
        <w:ind w:left="5760" w:hanging="5760" w:hangingChars="1800"/>
        <w:rPr>
          <w:rFonts w:hint="eastAsia" w:ascii="方正公文小标宋" w:hAnsi="方正公文小标宋" w:eastAsia="方正公文小标宋" w:cs="方正公文小标宋"/>
          <w:sz w:val="32"/>
          <w:szCs w:val="32"/>
        </w:rPr>
      </w:pPr>
    </w:p>
    <w:p w14:paraId="2A07EE0F">
      <w:pPr>
        <w:spacing w:line="560" w:lineRule="exact"/>
        <w:ind w:left="5760" w:hanging="5760" w:hangingChars="1800"/>
        <w:jc w:val="center"/>
        <w:rPr>
          <w:rFonts w:hint="eastAsia" w:ascii="方正公文小标宋" w:hAnsi="方正公文小标宋" w:eastAsia="方正公文小标宋" w:cs="方正公文小标宋"/>
          <w:sz w:val="32"/>
          <w:szCs w:val="32"/>
        </w:rPr>
      </w:pPr>
      <w:r>
        <w:rPr>
          <w:rFonts w:hint="eastAsia" w:ascii="方正公文小标宋" w:hAnsi="方正公文小标宋" w:eastAsia="方正公文小标宋" w:cs="方正公文小标宋"/>
          <w:sz w:val="32"/>
          <w:szCs w:val="32"/>
        </w:rPr>
        <w:t>南宁市卫生学校相思湖校区平安校园建设——南门道闸门禁系统项目</w:t>
      </w:r>
    </w:p>
    <w:p w14:paraId="0D4490DD">
      <w:pPr>
        <w:spacing w:line="560" w:lineRule="exact"/>
        <w:ind w:left="5760" w:hanging="5760" w:hangingChars="1800"/>
        <w:jc w:val="center"/>
        <w:rPr>
          <w:rFonts w:hint="eastAsia" w:ascii="方正公文小标宋" w:hAnsi="方正公文小标宋" w:eastAsia="方正公文小标宋" w:cs="方正公文小标宋"/>
          <w:sz w:val="32"/>
          <w:szCs w:val="32"/>
        </w:rPr>
      </w:pPr>
      <w:r>
        <w:rPr>
          <w:rFonts w:hint="eastAsia" w:ascii="方正公文小标宋" w:hAnsi="方正公文小标宋" w:eastAsia="方正公文小标宋" w:cs="方正公文小标宋"/>
          <w:sz w:val="32"/>
          <w:szCs w:val="32"/>
        </w:rPr>
        <w:t>响应参数及报价方案</w:t>
      </w:r>
    </w:p>
    <w:p w14:paraId="1A7638D7">
      <w:pPr>
        <w:spacing w:line="560" w:lineRule="exact"/>
        <w:ind w:left="5760" w:hanging="5760" w:hangingChars="1800"/>
        <w:jc w:val="center"/>
        <w:rPr>
          <w:rFonts w:hint="eastAsia" w:ascii="方正公文小标宋" w:hAnsi="方正公文小标宋" w:eastAsia="方正公文小标宋" w:cs="方正公文小标宋"/>
          <w:sz w:val="32"/>
          <w:szCs w:val="32"/>
        </w:rPr>
      </w:pPr>
    </w:p>
    <w:tbl>
      <w:tblPr>
        <w:tblStyle w:val="16"/>
        <w:tblW w:w="9662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069"/>
        <w:gridCol w:w="2009"/>
        <w:gridCol w:w="2950"/>
        <w:gridCol w:w="886"/>
        <w:gridCol w:w="966"/>
        <w:gridCol w:w="1782"/>
      </w:tblGrid>
      <w:tr w14:paraId="65682BB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6F5FAE">
            <w:pPr>
              <w:widowControl/>
              <w:spacing w:line="5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FB66C4D">
            <w:pPr>
              <w:widowControl/>
              <w:spacing w:line="5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货物名称</w:t>
            </w:r>
          </w:p>
        </w:tc>
        <w:tc>
          <w:tcPr>
            <w:tcW w:w="2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465BADD">
            <w:pPr>
              <w:widowControl/>
              <w:spacing w:line="5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响应参数</w:t>
            </w: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DBE718D">
            <w:pPr>
              <w:widowControl/>
              <w:spacing w:line="5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单位</w:t>
            </w:r>
          </w:p>
        </w:tc>
        <w:tc>
          <w:tcPr>
            <w:tcW w:w="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2E16E9B8">
            <w:pPr>
              <w:widowControl/>
              <w:spacing w:line="5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数量</w:t>
            </w:r>
          </w:p>
        </w:tc>
        <w:tc>
          <w:tcPr>
            <w:tcW w:w="17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4010F3DD">
            <w:pPr>
              <w:widowControl/>
              <w:spacing w:line="5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总价（元）</w:t>
            </w:r>
          </w:p>
        </w:tc>
      </w:tr>
      <w:tr w14:paraId="161C47F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6201CA">
            <w:pPr>
              <w:widowControl/>
              <w:spacing w:line="5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2EB9B52">
            <w:pPr>
              <w:spacing w:line="500" w:lineRule="exact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3B252B5">
            <w:pPr>
              <w:spacing w:line="500" w:lineRule="exact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B1BD341">
            <w:pPr>
              <w:spacing w:line="500" w:lineRule="exact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58434DD">
            <w:pPr>
              <w:spacing w:line="500" w:lineRule="exact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ECCA5F">
            <w:pPr>
              <w:spacing w:line="500" w:lineRule="exac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277416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00F9E9">
            <w:pPr>
              <w:widowControl/>
              <w:spacing w:line="5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8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7E80482A">
            <w:pPr>
              <w:spacing w:line="500" w:lineRule="exact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A5D8260">
            <w:pPr>
              <w:spacing w:line="500" w:lineRule="exact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105F4DF5">
            <w:pPr>
              <w:spacing w:line="500" w:lineRule="exact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333E6282">
            <w:pPr>
              <w:spacing w:line="500" w:lineRule="exact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55D909">
            <w:pPr>
              <w:spacing w:line="500" w:lineRule="exact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4A94FC1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  <w:jc w:val="center"/>
        </w:trPr>
        <w:tc>
          <w:tcPr>
            <w:tcW w:w="3078" w:type="dxa"/>
            <w:gridSpan w:val="2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9E325E">
            <w:pPr>
              <w:widowControl/>
              <w:spacing w:line="5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总报价（元）</w:t>
            </w:r>
          </w:p>
        </w:tc>
        <w:tc>
          <w:tcPr>
            <w:tcW w:w="6584" w:type="dxa"/>
            <w:gridSpan w:val="4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14:paraId="6EFF1351">
            <w:pPr>
              <w:spacing w:line="500" w:lineRule="exact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  <w:tr w14:paraId="6F7863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0" w:type="auto"/>
            <w:gridSpan w:val="6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97ED53">
            <w:pPr>
              <w:widowControl/>
              <w:spacing w:line="5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商务条款</w:t>
            </w:r>
          </w:p>
        </w:tc>
      </w:tr>
      <w:tr w14:paraId="3551DDD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56" w:hRule="atLeast"/>
          <w:jc w:val="center"/>
        </w:trPr>
        <w:tc>
          <w:tcPr>
            <w:tcW w:w="0" w:type="auto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88DB4C">
            <w:pPr>
              <w:spacing w:line="500" w:lineRule="exact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</w:tbl>
    <w:p w14:paraId="20B80B86">
      <w:pPr>
        <w:snapToGrid w:val="0"/>
        <w:spacing w:line="300" w:lineRule="auto"/>
        <w:rPr>
          <w:rFonts w:hint="eastAsia" w:ascii="仿宋_GB2312" w:hAnsi="仿宋_GB2312" w:eastAsia="仿宋_GB2312" w:cs="仿宋_GB2312"/>
          <w:color w:val="000000"/>
          <w:sz w:val="24"/>
        </w:rPr>
      </w:pPr>
    </w:p>
    <w:p w14:paraId="4F9ED0AC">
      <w:pPr>
        <w:snapToGrid w:val="0"/>
        <w:spacing w:line="300" w:lineRule="auto"/>
        <w:rPr>
          <w:rFonts w:hint="eastAsia" w:ascii="仿宋_GB2312" w:hAnsi="仿宋_GB2312" w:eastAsia="仿宋_GB2312" w:cs="仿宋_GB2312"/>
          <w:color w:val="000000"/>
          <w:sz w:val="24"/>
        </w:rPr>
      </w:pPr>
      <w:r>
        <w:rPr>
          <w:rFonts w:hint="eastAsia" w:ascii="仿宋_GB2312" w:hAnsi="仿宋_GB2312" w:eastAsia="仿宋_GB2312" w:cs="仿宋_GB2312"/>
          <w:color w:val="000000"/>
          <w:sz w:val="24"/>
        </w:rPr>
        <w:t>说明：所有价格均用人民币表示，单位为元，精确到个位数。</w:t>
      </w:r>
    </w:p>
    <w:p w14:paraId="1AB82AC8">
      <w:pPr>
        <w:spacing w:line="560" w:lineRule="exact"/>
        <w:ind w:left="5400" w:hanging="5400" w:hangingChars="1800"/>
        <w:rPr>
          <w:rFonts w:hint="eastAsia" w:ascii="仿宋" w:hAnsi="仿宋" w:eastAsia="仿宋" w:cs="仿宋"/>
          <w:sz w:val="30"/>
          <w:szCs w:val="30"/>
        </w:rPr>
      </w:pPr>
    </w:p>
    <w:p w14:paraId="65B26B11"/>
    <w:sectPr>
      <w:footerReference r:id="rId5" w:type="default"/>
      <w:pgSz w:w="11906" w:h="16838"/>
      <w:pgMar w:top="1134" w:right="1134" w:bottom="1134" w:left="1134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DengXia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公文小标宋">
    <w:altName w:val="宋体"/>
    <w:panose1 w:val="00000000000000000000"/>
    <w:charset w:val="86"/>
    <w:family w:val="auto"/>
    <w:pitch w:val="default"/>
    <w:sig w:usb0="00000000" w:usb1="00000000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2312">
    <w:altName w:val="仿宋"/>
    <w:panose1 w:val="00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E0D638">
    <w:pPr>
      <w:pStyle w:val="1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64DFB65">
                          <w:pPr>
                            <w:pStyle w:val="1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B4HF0wAgAAY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eEybMsbPXO&#10;8ggd5fF2dQyQs1M5itIrge7EDWav69PwTuJw/7nvoh7/Dc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FB4HF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64DFB65">
                    <w:pPr>
                      <w:pStyle w:val="1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8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6F39"/>
    <w:rsid w:val="00BA5B65"/>
    <w:rsid w:val="00CC6F39"/>
    <w:rsid w:val="00F44BE0"/>
    <w:rsid w:val="00FD64E8"/>
    <w:rsid w:val="4FE97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after="0" w:line="240" w:lineRule="auto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  <w14:ligatures w14:val="none"/>
    </w:rPr>
  </w:style>
  <w:style w:type="paragraph" w:styleId="3">
    <w:name w:val="heading 1"/>
    <w:basedOn w:val="1"/>
    <w:next w:val="1"/>
    <w:link w:val="18"/>
    <w:qFormat/>
    <w:uiPriority w:val="9"/>
    <w:pPr>
      <w:keepNext/>
      <w:keepLines/>
      <w:spacing w:before="480" w:after="80" w:line="278" w:lineRule="auto"/>
      <w:jc w:val="left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  <w14:ligatures w14:val="standardContextual"/>
    </w:rPr>
  </w:style>
  <w:style w:type="paragraph" w:styleId="4">
    <w:name w:val="heading 2"/>
    <w:basedOn w:val="1"/>
    <w:next w:val="1"/>
    <w:link w:val="19"/>
    <w:semiHidden/>
    <w:unhideWhenUsed/>
    <w:qFormat/>
    <w:uiPriority w:val="9"/>
    <w:pPr>
      <w:keepNext/>
      <w:keepLines/>
      <w:spacing w:before="160" w:after="80" w:line="278" w:lineRule="auto"/>
      <w:jc w:val="left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  <w14:ligatures w14:val="standardContextual"/>
    </w:rPr>
  </w:style>
  <w:style w:type="paragraph" w:styleId="5">
    <w:name w:val="heading 3"/>
    <w:basedOn w:val="1"/>
    <w:next w:val="1"/>
    <w:link w:val="20"/>
    <w:semiHidden/>
    <w:unhideWhenUsed/>
    <w:qFormat/>
    <w:uiPriority w:val="9"/>
    <w:pPr>
      <w:keepNext/>
      <w:keepLines/>
      <w:spacing w:before="160" w:after="80" w:line="278" w:lineRule="auto"/>
      <w:jc w:val="left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  <w14:ligatures w14:val="standardContextual"/>
    </w:rPr>
  </w:style>
  <w:style w:type="paragraph" w:styleId="6">
    <w:name w:val="heading 4"/>
    <w:basedOn w:val="1"/>
    <w:next w:val="1"/>
    <w:link w:val="21"/>
    <w:semiHidden/>
    <w:unhideWhenUsed/>
    <w:qFormat/>
    <w:uiPriority w:val="9"/>
    <w:pPr>
      <w:keepNext/>
      <w:keepLines/>
      <w:spacing w:before="80" w:after="40" w:line="278" w:lineRule="auto"/>
      <w:jc w:val="left"/>
      <w:outlineLvl w:val="3"/>
    </w:pPr>
    <w:rPr>
      <w:rFonts w:asciiTheme="minorHAnsi" w:hAnsiTheme="minorHAnsi" w:eastAsiaTheme="minorEastAsia" w:cstheme="majorBidi"/>
      <w:color w:val="104862" w:themeColor="accent1" w:themeShade="BF"/>
      <w:sz w:val="28"/>
      <w:szCs w:val="28"/>
      <w14:ligatures w14:val="standardContextual"/>
    </w:rPr>
  </w:style>
  <w:style w:type="paragraph" w:styleId="7">
    <w:name w:val="heading 5"/>
    <w:basedOn w:val="1"/>
    <w:next w:val="1"/>
    <w:link w:val="22"/>
    <w:semiHidden/>
    <w:unhideWhenUsed/>
    <w:qFormat/>
    <w:uiPriority w:val="9"/>
    <w:pPr>
      <w:keepNext/>
      <w:keepLines/>
      <w:spacing w:before="80" w:after="40" w:line="278" w:lineRule="auto"/>
      <w:jc w:val="left"/>
      <w:outlineLvl w:val="4"/>
    </w:pPr>
    <w:rPr>
      <w:rFonts w:asciiTheme="minorHAnsi" w:hAnsiTheme="minorHAnsi" w:eastAsiaTheme="minorEastAsia" w:cstheme="majorBidi"/>
      <w:color w:val="104862" w:themeColor="accent1" w:themeShade="BF"/>
      <w:sz w:val="24"/>
      <w14:ligatures w14:val="standardContextual"/>
    </w:rPr>
  </w:style>
  <w:style w:type="paragraph" w:styleId="8">
    <w:name w:val="heading 6"/>
    <w:basedOn w:val="1"/>
    <w:next w:val="1"/>
    <w:link w:val="23"/>
    <w:semiHidden/>
    <w:unhideWhenUsed/>
    <w:qFormat/>
    <w:uiPriority w:val="9"/>
    <w:pPr>
      <w:keepNext/>
      <w:keepLines/>
      <w:spacing w:before="40" w:line="278" w:lineRule="auto"/>
      <w:jc w:val="left"/>
      <w:outlineLvl w:val="5"/>
    </w:pPr>
    <w:rPr>
      <w:rFonts w:asciiTheme="minorHAnsi" w:hAnsiTheme="minorHAnsi" w:eastAsiaTheme="minorEastAsia" w:cstheme="majorBidi"/>
      <w:b/>
      <w:bCs/>
      <w:color w:val="104862" w:themeColor="accent1" w:themeShade="BF"/>
      <w:sz w:val="22"/>
      <w14:ligatures w14:val="standardContextual"/>
    </w:rPr>
  </w:style>
  <w:style w:type="paragraph" w:styleId="9">
    <w:name w:val="heading 7"/>
    <w:basedOn w:val="1"/>
    <w:next w:val="1"/>
    <w:link w:val="24"/>
    <w:semiHidden/>
    <w:unhideWhenUsed/>
    <w:qFormat/>
    <w:uiPriority w:val="9"/>
    <w:pPr>
      <w:keepNext/>
      <w:keepLines/>
      <w:spacing w:before="40" w:line="278" w:lineRule="auto"/>
      <w:jc w:val="left"/>
      <w:outlineLvl w:val="6"/>
    </w:pPr>
    <w:rPr>
      <w:rFonts w:asciiTheme="minorHAnsi" w:hAnsiTheme="minorHAnsi" w:eastAsiaTheme="minorEastAsia" w:cstheme="majorBidi"/>
      <w:b/>
      <w:bCs/>
      <w:color w:val="595959" w:themeColor="text1" w:themeTint="A6"/>
      <w:sz w:val="22"/>
      <w14:textFill>
        <w14:solidFill>
          <w14:schemeClr w14:val="tx1">
            <w14:lumMod w14:val="65000"/>
            <w14:lumOff w14:val="35000"/>
          </w14:schemeClr>
        </w14:solidFill>
      </w14:textFill>
      <w14:ligatures w14:val="standardContextual"/>
    </w:rPr>
  </w:style>
  <w:style w:type="paragraph" w:styleId="10">
    <w:name w:val="heading 8"/>
    <w:basedOn w:val="1"/>
    <w:next w:val="1"/>
    <w:link w:val="25"/>
    <w:semiHidden/>
    <w:unhideWhenUsed/>
    <w:qFormat/>
    <w:uiPriority w:val="9"/>
    <w:pPr>
      <w:keepNext/>
      <w:keepLines/>
      <w:spacing w:line="278" w:lineRule="auto"/>
      <w:jc w:val="left"/>
      <w:outlineLvl w:val="7"/>
    </w:pPr>
    <w:rPr>
      <w:rFonts w:asciiTheme="minorHAnsi" w:hAnsiTheme="minorHAnsi" w:eastAsiaTheme="minorEastAsia" w:cstheme="majorBidi"/>
      <w:color w:val="595959" w:themeColor="text1" w:themeTint="A6"/>
      <w:sz w:val="22"/>
      <w14:textFill>
        <w14:solidFill>
          <w14:schemeClr w14:val="tx1">
            <w14:lumMod w14:val="65000"/>
            <w14:lumOff w14:val="35000"/>
          </w14:schemeClr>
        </w14:solidFill>
      </w14:textFill>
      <w14:ligatures w14:val="standardContextual"/>
    </w:rPr>
  </w:style>
  <w:style w:type="paragraph" w:styleId="11">
    <w:name w:val="heading 9"/>
    <w:basedOn w:val="1"/>
    <w:next w:val="1"/>
    <w:link w:val="26"/>
    <w:semiHidden/>
    <w:unhideWhenUsed/>
    <w:qFormat/>
    <w:uiPriority w:val="9"/>
    <w:pPr>
      <w:keepNext/>
      <w:keepLines/>
      <w:spacing w:line="278" w:lineRule="auto"/>
      <w:jc w:val="left"/>
      <w:outlineLvl w:val="8"/>
    </w:pPr>
    <w:rPr>
      <w:rFonts w:asciiTheme="minorHAnsi" w:hAnsiTheme="minorHAnsi" w:eastAsiaTheme="majorEastAsia" w:cstheme="majorBidi"/>
      <w:color w:val="595959" w:themeColor="text1" w:themeTint="A6"/>
      <w:sz w:val="22"/>
      <w14:textFill>
        <w14:solidFill>
          <w14:schemeClr w14:val="tx1">
            <w14:lumMod w14:val="65000"/>
            <w14:lumOff w14:val="35000"/>
          </w14:schemeClr>
        </w14:solidFill>
      </w14:textFill>
      <w14:ligatures w14:val="standardContextual"/>
    </w:rPr>
  </w:style>
  <w:style w:type="character" w:default="1" w:styleId="17">
    <w:name w:val="Default Paragraph Font"/>
    <w:semiHidden/>
    <w:unhideWhenUsed/>
    <w:uiPriority w:val="1"/>
  </w:style>
  <w:style w:type="table" w:default="1" w:styleId="1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eastAsia="宋体" w:cs="Times New Roman"/>
      <w:color w:val="000000"/>
      <w:kern w:val="0"/>
      <w:sz w:val="24"/>
      <w:szCs w:val="24"/>
      <w:lang w:val="en-US" w:eastAsia="zh-CN" w:bidi="ar-SA"/>
      <w14:ligatures w14:val="none"/>
    </w:rPr>
  </w:style>
  <w:style w:type="paragraph" w:styleId="12">
    <w:name w:val="footer"/>
    <w:basedOn w:val="1"/>
    <w:link w:val="37"/>
    <w:unhideWhenUsed/>
    <w:qFormat/>
    <w:uiPriority w:val="0"/>
    <w:pPr>
      <w:tabs>
        <w:tab w:val="center" w:pos="4153"/>
        <w:tab w:val="right" w:pos="8306"/>
      </w:tabs>
      <w:snapToGrid w:val="0"/>
      <w:spacing w:after="160"/>
      <w:jc w:val="left"/>
    </w:pPr>
    <w:rPr>
      <w:rFonts w:asciiTheme="minorHAnsi" w:hAnsiTheme="minorHAnsi" w:eastAsiaTheme="minorEastAsia" w:cstheme="minorBidi"/>
      <w:sz w:val="18"/>
      <w:szCs w:val="18"/>
      <w14:ligatures w14:val="standardContextual"/>
    </w:rPr>
  </w:style>
  <w:style w:type="paragraph" w:styleId="13">
    <w:name w:val="header"/>
    <w:basedOn w:val="1"/>
    <w:link w:val="36"/>
    <w:unhideWhenUsed/>
    <w:qFormat/>
    <w:uiPriority w:val="99"/>
    <w:pPr>
      <w:tabs>
        <w:tab w:val="center" w:pos="4153"/>
        <w:tab w:val="right" w:pos="8306"/>
      </w:tabs>
      <w:snapToGrid w:val="0"/>
      <w:spacing w:after="160"/>
      <w:jc w:val="center"/>
    </w:pPr>
    <w:rPr>
      <w:rFonts w:asciiTheme="minorHAnsi" w:hAnsiTheme="minorHAnsi" w:eastAsiaTheme="minorEastAsia" w:cstheme="minorBidi"/>
      <w:sz w:val="18"/>
      <w:szCs w:val="18"/>
      <w14:ligatures w14:val="standardContextual"/>
    </w:rPr>
  </w:style>
  <w:style w:type="paragraph" w:styleId="14">
    <w:name w:val="Subtitle"/>
    <w:basedOn w:val="1"/>
    <w:next w:val="1"/>
    <w:link w:val="28"/>
    <w:qFormat/>
    <w:uiPriority w:val="11"/>
    <w:pPr>
      <w:spacing w:after="160" w:line="278" w:lineRule="auto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  <w14:ligatures w14:val="standardContextual"/>
    </w:rPr>
  </w:style>
  <w:style w:type="paragraph" w:styleId="15">
    <w:name w:val="Title"/>
    <w:basedOn w:val="1"/>
    <w:next w:val="1"/>
    <w:link w:val="27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  <w14:ligatures w14:val="standardContextual"/>
    </w:rPr>
  </w:style>
  <w:style w:type="character" w:customStyle="1" w:styleId="18">
    <w:name w:val="标题 1 字符"/>
    <w:basedOn w:val="17"/>
    <w:link w:val="3"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9">
    <w:name w:val="标题 2 字符"/>
    <w:basedOn w:val="17"/>
    <w:link w:val="4"/>
    <w:semiHidden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0">
    <w:name w:val="标题 3 字符"/>
    <w:basedOn w:val="17"/>
    <w:link w:val="5"/>
    <w:semiHidden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1">
    <w:name w:val="标题 4 字符"/>
    <w:basedOn w:val="17"/>
    <w:link w:val="6"/>
    <w:semiHidden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2">
    <w:name w:val="标题 5 字符"/>
    <w:basedOn w:val="17"/>
    <w:link w:val="7"/>
    <w:semiHidden/>
    <w:uiPriority w:val="9"/>
    <w:rPr>
      <w:rFonts w:cstheme="majorBidi"/>
      <w:color w:val="104862" w:themeColor="accent1" w:themeShade="BF"/>
      <w:sz w:val="24"/>
    </w:rPr>
  </w:style>
  <w:style w:type="character" w:customStyle="1" w:styleId="23">
    <w:name w:val="标题 6 字符"/>
    <w:basedOn w:val="17"/>
    <w:link w:val="8"/>
    <w:semiHidden/>
    <w:uiPriority w:val="9"/>
    <w:rPr>
      <w:rFonts w:cstheme="majorBidi"/>
      <w:b/>
      <w:bCs/>
      <w:color w:val="104862" w:themeColor="accent1" w:themeShade="BF"/>
    </w:rPr>
  </w:style>
  <w:style w:type="character" w:customStyle="1" w:styleId="24">
    <w:name w:val="标题 7 字符"/>
    <w:basedOn w:val="17"/>
    <w:link w:val="9"/>
    <w:semiHidden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8 字符"/>
    <w:basedOn w:val="17"/>
    <w:link w:val="10"/>
    <w:semiHidden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9 字符"/>
    <w:basedOn w:val="17"/>
    <w:link w:val="11"/>
    <w:semiHidden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字符"/>
    <w:basedOn w:val="17"/>
    <w:link w:val="15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8">
    <w:name w:val="副标题 字符"/>
    <w:basedOn w:val="17"/>
    <w:link w:val="14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9">
    <w:name w:val="Quote"/>
    <w:basedOn w:val="1"/>
    <w:next w:val="1"/>
    <w:link w:val="30"/>
    <w:qFormat/>
    <w:uiPriority w:val="29"/>
    <w:pPr>
      <w:spacing w:before="160" w:after="160" w:line="278" w:lineRule="auto"/>
      <w:jc w:val="center"/>
    </w:pPr>
    <w:rPr>
      <w:rFonts w:asciiTheme="minorHAnsi" w:hAnsiTheme="minorHAnsi" w:eastAsiaTheme="minorEastAsia" w:cstheme="minorBidi"/>
      <w:i/>
      <w:iCs/>
      <w:color w:val="404040" w:themeColor="text1" w:themeTint="BF"/>
      <w:sz w:val="22"/>
      <w14:textFill>
        <w14:solidFill>
          <w14:schemeClr w14:val="tx1">
            <w14:lumMod w14:val="75000"/>
            <w14:lumOff w14:val="25000"/>
          </w14:schemeClr>
        </w14:solidFill>
      </w14:textFill>
      <w14:ligatures w14:val="standardContextual"/>
    </w:rPr>
  </w:style>
  <w:style w:type="character" w:customStyle="1" w:styleId="30">
    <w:name w:val="引用 字符"/>
    <w:basedOn w:val="17"/>
    <w:link w:val="29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1">
    <w:name w:val="List Paragraph"/>
    <w:basedOn w:val="1"/>
    <w:qFormat/>
    <w:uiPriority w:val="34"/>
    <w:pPr>
      <w:spacing w:after="160" w:line="278" w:lineRule="auto"/>
      <w:ind w:left="720"/>
      <w:contextualSpacing/>
      <w:jc w:val="left"/>
    </w:pPr>
    <w:rPr>
      <w:rFonts w:asciiTheme="minorHAnsi" w:hAnsiTheme="minorHAnsi" w:eastAsiaTheme="minorEastAsia" w:cstheme="minorBidi"/>
      <w:sz w:val="22"/>
      <w14:ligatures w14:val="standardContextual"/>
    </w:rPr>
  </w:style>
  <w:style w:type="character" w:customStyle="1" w:styleId="32">
    <w:name w:val="Intense Emphasis"/>
    <w:basedOn w:val="17"/>
    <w:qFormat/>
    <w:uiPriority w:val="21"/>
    <w:rPr>
      <w:i/>
      <w:iCs/>
      <w:color w:val="104862" w:themeColor="accent1" w:themeShade="BF"/>
    </w:rPr>
  </w:style>
  <w:style w:type="paragraph" w:styleId="33">
    <w:name w:val="Intense Quote"/>
    <w:basedOn w:val="1"/>
    <w:next w:val="1"/>
    <w:link w:val="34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 w:line="278" w:lineRule="auto"/>
      <w:ind w:left="864" w:right="864"/>
      <w:jc w:val="center"/>
    </w:pPr>
    <w:rPr>
      <w:rFonts w:asciiTheme="minorHAnsi" w:hAnsiTheme="minorHAnsi" w:eastAsiaTheme="minorEastAsia" w:cstheme="minorBidi"/>
      <w:i/>
      <w:iCs/>
      <w:color w:val="104862" w:themeColor="accent1" w:themeShade="BF"/>
      <w:sz w:val="22"/>
      <w14:ligatures w14:val="standardContextual"/>
    </w:rPr>
  </w:style>
  <w:style w:type="character" w:customStyle="1" w:styleId="34">
    <w:name w:val="明显引用 字符"/>
    <w:basedOn w:val="17"/>
    <w:link w:val="33"/>
    <w:qFormat/>
    <w:uiPriority w:val="30"/>
    <w:rPr>
      <w:i/>
      <w:iCs/>
      <w:color w:val="104862" w:themeColor="accent1" w:themeShade="BF"/>
    </w:rPr>
  </w:style>
  <w:style w:type="character" w:customStyle="1" w:styleId="35">
    <w:name w:val="Intense Reference"/>
    <w:basedOn w:val="17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6">
    <w:name w:val="页眉 字符"/>
    <w:basedOn w:val="17"/>
    <w:link w:val="13"/>
    <w:qFormat/>
    <w:uiPriority w:val="99"/>
    <w:rPr>
      <w:sz w:val="18"/>
      <w:szCs w:val="18"/>
    </w:rPr>
  </w:style>
  <w:style w:type="character" w:customStyle="1" w:styleId="37">
    <w:name w:val="页脚 字符"/>
    <w:basedOn w:val="17"/>
    <w:link w:val="1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2860</Words>
  <Characters>3372</Characters>
  <Lines>185</Lines>
  <Paragraphs>179</Paragraphs>
  <TotalTime>6</TotalTime>
  <ScaleCrop>false</ScaleCrop>
  <LinksUpToDate>false</LinksUpToDate>
  <CharactersWithSpaces>3513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2026-03-11T12:18:00Z</dcterms:created>
  <dc:creator>8618607719145</dc:creator>
  <cp:lastModifiedBy>龍猫圈圈</cp:lastModifiedBy>
  <dcterms:modified xsi:type="dcterms:W3CDTF">2026-03-20T02:17:36Z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eyJoZGlkIjoiZDJiN2I3Y2NlNDkyOWVkYWI4MjYzY2IyNmQ5MzQ2YjIiLCJ1c2VySWQiOiIzNjIyMTYyOTgifQ==</vt:lpwstr>
  </property>
  <property fmtid="{D5CDD505-2E9C-101B-9397-08002B2CF9AE}" pid="3" name="KSOProductBuildVer">
    <vt:lpwstr>2052-12.1.0.25225</vt:lpwstr>
  </property>
  <property fmtid="{D5CDD505-2E9C-101B-9397-08002B2CF9AE}" pid="4" name="ICV">
    <vt:lpwstr>164EB4CDA8194515858DABE215640F08_12</vt:lpwstr>
  </property>
</Properties>
</file>