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2AED72">
      <w:pPr>
        <w:spacing w:line="400" w:lineRule="exac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color w:val="000000"/>
          <w:sz w:val="30"/>
          <w:szCs w:val="30"/>
        </w:rPr>
        <w:t>附件1：</w:t>
      </w:r>
    </w:p>
    <w:p w14:paraId="3A4F2A63">
      <w:pPr>
        <w:pStyle w:val="7"/>
        <w:spacing w:after="0" w:line="500" w:lineRule="exact"/>
        <w:ind w:right="0" w:firstLine="0" w:firstLineChars="0"/>
        <w:jc w:val="center"/>
        <w:rPr>
          <w:rFonts w:ascii="仿宋_GB2312" w:hAnsi="仿宋_GB2312" w:eastAsia="仿宋_GB2312" w:cs="仿宋_GB2312"/>
          <w:sz w:val="32"/>
          <w:szCs w:val="32"/>
        </w:rPr>
      </w:pPr>
    </w:p>
    <w:p w14:paraId="051EBB8C">
      <w:pPr>
        <w:spacing w:line="560" w:lineRule="exact"/>
        <w:ind w:firstLine="640" w:firstLineChars="200"/>
        <w:jc w:val="center"/>
        <w:rPr>
          <w:rFonts w:ascii="仿宋" w:hAnsi="仿宋" w:eastAsia="仿宋" w:cs="仿宋"/>
          <w:sz w:val="30"/>
          <w:szCs w:val="30"/>
        </w:rPr>
      </w:pPr>
      <w:r>
        <w:rPr>
          <w:rFonts w:hint="eastAsia" w:ascii="方正公文小标宋" w:hAnsi="方正公文小标宋" w:eastAsia="方正公文小标宋" w:cs="方正公文小标宋"/>
          <w:sz w:val="32"/>
          <w:szCs w:val="32"/>
        </w:rPr>
        <w:t>南宁市卫生学校“双优计划”建设期满验收服务项目（验收指导服务）</w:t>
      </w:r>
      <w:r>
        <w:rPr>
          <w:rFonts w:hint="eastAsia" w:ascii="方正公文小标宋" w:hAnsi="方正公文小标宋" w:eastAsia="方正公文小标宋" w:cs="方正公文小标宋"/>
          <w:sz w:val="32"/>
          <w:szCs w:val="32"/>
          <w:lang w:eastAsia="zh-CN"/>
        </w:rPr>
        <w:t>服</w:t>
      </w:r>
      <w:r>
        <w:rPr>
          <w:rFonts w:hint="eastAsia" w:ascii="方正公文小标宋" w:hAnsi="方正公文小标宋" w:eastAsia="方正公文小标宋" w:cs="方正公文小标宋"/>
          <w:sz w:val="32"/>
          <w:szCs w:val="32"/>
        </w:rPr>
        <w:t>务响应及报价方案</w:t>
      </w:r>
    </w:p>
    <w:p w14:paraId="47808F98">
      <w:pPr>
        <w:pStyle w:val="7"/>
        <w:spacing w:after="0" w:line="500" w:lineRule="exact"/>
        <w:ind w:right="0" w:firstLine="0" w:firstLineChars="0"/>
        <w:jc w:val="center"/>
        <w:rPr>
          <w:rFonts w:ascii="方正公文小标宋" w:hAnsi="方正公文小标宋" w:eastAsia="方正公文小标宋" w:cs="方正公文小标宋"/>
          <w:sz w:val="32"/>
          <w:szCs w:val="32"/>
        </w:rPr>
      </w:pPr>
    </w:p>
    <w:p w14:paraId="1B763F00">
      <w:pPr>
        <w:pStyle w:val="7"/>
        <w:spacing w:after="0" w:line="500" w:lineRule="exact"/>
        <w:ind w:right="0" w:firstLine="0" w:firstLineChars="0"/>
        <w:jc w:val="center"/>
        <w:rPr>
          <w:rFonts w:ascii="仿宋_GB2312" w:hAnsi="仿宋_GB2312" w:eastAsia="仿宋_GB2312" w:cs="仿宋_GB2312"/>
          <w:sz w:val="32"/>
          <w:szCs w:val="32"/>
        </w:rPr>
      </w:pPr>
    </w:p>
    <w:tbl>
      <w:tblPr>
        <w:tblStyle w:val="9"/>
        <w:tblW w:w="96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1"/>
        <w:gridCol w:w="1641"/>
        <w:gridCol w:w="2245"/>
        <w:gridCol w:w="1449"/>
        <w:gridCol w:w="1605"/>
        <w:gridCol w:w="2077"/>
      </w:tblGrid>
      <w:tr w14:paraId="20BCF4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574" w:type="dxa"/>
            <w:vAlign w:val="center"/>
          </w:tcPr>
          <w:p w14:paraId="7E545723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517" w:type="dxa"/>
            <w:vAlign w:val="center"/>
          </w:tcPr>
          <w:p w14:paraId="08FDFE73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</w:rPr>
              <w:t>服务名称</w:t>
            </w:r>
          </w:p>
        </w:tc>
        <w:tc>
          <w:tcPr>
            <w:tcW w:w="2075" w:type="dxa"/>
            <w:vAlign w:val="center"/>
          </w:tcPr>
          <w:p w14:paraId="125D68B5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FF0000"/>
                <w:sz w:val="28"/>
                <w:szCs w:val="28"/>
              </w:rPr>
              <w:t>服务响应</w:t>
            </w:r>
          </w:p>
        </w:tc>
        <w:tc>
          <w:tcPr>
            <w:tcW w:w="1340" w:type="dxa"/>
            <w:vAlign w:val="center"/>
          </w:tcPr>
          <w:p w14:paraId="242EBDB0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单位</w:t>
            </w:r>
          </w:p>
        </w:tc>
        <w:tc>
          <w:tcPr>
            <w:tcW w:w="1484" w:type="dxa"/>
            <w:vAlign w:val="center"/>
          </w:tcPr>
          <w:p w14:paraId="78F9C11B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数量</w:t>
            </w:r>
          </w:p>
        </w:tc>
        <w:tc>
          <w:tcPr>
            <w:tcW w:w="1920" w:type="dxa"/>
            <w:vAlign w:val="center"/>
          </w:tcPr>
          <w:p w14:paraId="037E4F9E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单项报价（元）</w:t>
            </w:r>
          </w:p>
        </w:tc>
      </w:tr>
      <w:tr w14:paraId="7F87F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574" w:type="dxa"/>
            <w:vAlign w:val="center"/>
          </w:tcPr>
          <w:p w14:paraId="52CCAF56">
            <w:pPr>
              <w:snapToGrid w:val="0"/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1517" w:type="dxa"/>
            <w:vAlign w:val="center"/>
          </w:tcPr>
          <w:p w14:paraId="5E0921BA">
            <w:pPr>
              <w:spacing w:line="500" w:lineRule="exact"/>
              <w:contextualSpacing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075" w:type="dxa"/>
            <w:vAlign w:val="center"/>
          </w:tcPr>
          <w:p w14:paraId="55E64BDE">
            <w:pPr>
              <w:spacing w:line="500" w:lineRule="exact"/>
              <w:contextualSpacing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340" w:type="dxa"/>
            <w:vAlign w:val="center"/>
          </w:tcPr>
          <w:p w14:paraId="173BFF63">
            <w:pPr>
              <w:pStyle w:val="7"/>
              <w:spacing w:after="0" w:line="500" w:lineRule="exact"/>
              <w:ind w:firstLine="0" w:firstLineChars="0"/>
              <w:jc w:val="center"/>
              <w:rPr>
                <w:rFonts w:ascii="方正仿宋_GB2312" w:hAnsi="方正仿宋_GB2312" w:eastAsia="方正仿宋_GB2312" w:cs="方正仿宋_GB2312"/>
                <w:b/>
                <w:color w:val="000000"/>
                <w:kern w:val="0"/>
                <w:sz w:val="28"/>
                <w:shd w:val="clear" w:color="auto" w:fill="FFFFFF"/>
                <w:lang w:bidi="ar"/>
              </w:rPr>
            </w:pPr>
          </w:p>
        </w:tc>
        <w:tc>
          <w:tcPr>
            <w:tcW w:w="1484" w:type="dxa"/>
            <w:vAlign w:val="center"/>
          </w:tcPr>
          <w:p w14:paraId="099AD3C3">
            <w:pPr>
              <w:pStyle w:val="7"/>
              <w:spacing w:after="0" w:line="500" w:lineRule="exact"/>
              <w:ind w:firstLine="0" w:firstLineChars="0"/>
              <w:jc w:val="center"/>
              <w:rPr>
                <w:rFonts w:ascii="方正仿宋_GB2312" w:hAnsi="方正仿宋_GB2312" w:eastAsia="方正仿宋_GB2312" w:cs="方正仿宋_GB2312"/>
                <w:b/>
                <w:color w:val="000000"/>
                <w:kern w:val="0"/>
                <w:sz w:val="28"/>
                <w:shd w:val="clear" w:color="auto" w:fill="FFFFFF"/>
                <w:lang w:bidi="ar"/>
              </w:rPr>
            </w:pPr>
          </w:p>
        </w:tc>
        <w:tc>
          <w:tcPr>
            <w:tcW w:w="1920" w:type="dxa"/>
            <w:vAlign w:val="center"/>
          </w:tcPr>
          <w:p w14:paraId="33BB52CB">
            <w:pPr>
              <w:pStyle w:val="7"/>
              <w:spacing w:after="0" w:line="500" w:lineRule="exact"/>
              <w:ind w:firstLine="280"/>
              <w:rPr>
                <w:rFonts w:ascii="方正仿宋_GB2312" w:hAnsi="方正仿宋_GB2312" w:eastAsia="方正仿宋_GB2312" w:cs="方正仿宋_GB2312"/>
                <w:b/>
                <w:color w:val="000000"/>
                <w:kern w:val="0"/>
                <w:sz w:val="28"/>
                <w:shd w:val="clear" w:color="auto" w:fill="FFFFFF"/>
                <w:lang w:bidi="ar"/>
              </w:rPr>
            </w:pPr>
          </w:p>
        </w:tc>
      </w:tr>
      <w:tr w14:paraId="2C4EE4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574" w:type="dxa"/>
            <w:vAlign w:val="center"/>
          </w:tcPr>
          <w:p w14:paraId="0FC1948F">
            <w:pPr>
              <w:snapToGrid w:val="0"/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2</w:t>
            </w:r>
          </w:p>
        </w:tc>
        <w:tc>
          <w:tcPr>
            <w:tcW w:w="1517" w:type="dxa"/>
            <w:vAlign w:val="center"/>
          </w:tcPr>
          <w:p w14:paraId="371D3F8E">
            <w:pPr>
              <w:spacing w:line="500" w:lineRule="exact"/>
              <w:contextualSpacing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075" w:type="dxa"/>
            <w:vAlign w:val="center"/>
          </w:tcPr>
          <w:p w14:paraId="10C01FB7">
            <w:pPr>
              <w:spacing w:line="500" w:lineRule="exact"/>
              <w:contextualSpacing/>
              <w:rPr>
                <w:rFonts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340" w:type="dxa"/>
            <w:vAlign w:val="center"/>
          </w:tcPr>
          <w:p w14:paraId="191BB6CF">
            <w:pPr>
              <w:pStyle w:val="7"/>
              <w:spacing w:after="0" w:line="500" w:lineRule="exact"/>
              <w:ind w:firstLine="0" w:firstLineChars="0"/>
              <w:jc w:val="center"/>
              <w:rPr>
                <w:rFonts w:ascii="方正仿宋_GB2312" w:hAnsi="方正仿宋_GB2312" w:eastAsia="方正仿宋_GB2312" w:cs="方正仿宋_GB2312"/>
                <w:b/>
                <w:color w:val="000000"/>
                <w:kern w:val="0"/>
                <w:sz w:val="28"/>
                <w:shd w:val="clear" w:color="auto" w:fill="FFFFFF"/>
                <w:lang w:bidi="ar"/>
              </w:rPr>
            </w:pPr>
          </w:p>
        </w:tc>
        <w:tc>
          <w:tcPr>
            <w:tcW w:w="1484" w:type="dxa"/>
            <w:vAlign w:val="center"/>
          </w:tcPr>
          <w:p w14:paraId="10A85EF4">
            <w:pPr>
              <w:pStyle w:val="7"/>
              <w:spacing w:after="0" w:line="500" w:lineRule="exact"/>
              <w:ind w:firstLine="0" w:firstLineChars="0"/>
              <w:jc w:val="center"/>
              <w:rPr>
                <w:rFonts w:ascii="方正仿宋_GB2312" w:hAnsi="方正仿宋_GB2312" w:eastAsia="方正仿宋_GB2312" w:cs="方正仿宋_GB2312"/>
                <w:b/>
                <w:color w:val="000000"/>
                <w:kern w:val="0"/>
                <w:sz w:val="28"/>
                <w:shd w:val="clear" w:color="auto" w:fill="FFFFFF"/>
                <w:lang w:bidi="ar"/>
              </w:rPr>
            </w:pPr>
          </w:p>
        </w:tc>
        <w:tc>
          <w:tcPr>
            <w:tcW w:w="1920" w:type="dxa"/>
            <w:vAlign w:val="center"/>
          </w:tcPr>
          <w:p w14:paraId="2D8A3CC6">
            <w:pPr>
              <w:pStyle w:val="7"/>
              <w:spacing w:after="0" w:line="500" w:lineRule="exact"/>
              <w:ind w:firstLine="280"/>
              <w:rPr>
                <w:rFonts w:ascii="方正仿宋_GB2312" w:hAnsi="方正仿宋_GB2312" w:eastAsia="方正仿宋_GB2312" w:cs="方正仿宋_GB2312"/>
                <w:b/>
                <w:color w:val="000000"/>
                <w:kern w:val="0"/>
                <w:sz w:val="28"/>
                <w:shd w:val="clear" w:color="auto" w:fill="FFFFFF"/>
                <w:lang w:bidi="ar"/>
              </w:rPr>
            </w:pPr>
          </w:p>
        </w:tc>
      </w:tr>
      <w:tr w14:paraId="776812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8910" w:type="dxa"/>
            <w:gridSpan w:val="6"/>
            <w:vAlign w:val="center"/>
          </w:tcPr>
          <w:p w14:paraId="349428EC">
            <w:pPr>
              <w:widowControl/>
              <w:spacing w:line="500" w:lineRule="exact"/>
              <w:jc w:val="center"/>
              <w:rPr>
                <w:rStyle w:val="11"/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Style w:val="11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合计金额：大写：                             （小写：¥           元）</w:t>
            </w:r>
          </w:p>
        </w:tc>
      </w:tr>
      <w:tr w14:paraId="613EB7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  <w:jc w:val="center"/>
        </w:trPr>
        <w:tc>
          <w:tcPr>
            <w:tcW w:w="8910" w:type="dxa"/>
            <w:gridSpan w:val="6"/>
            <w:vAlign w:val="center"/>
          </w:tcPr>
          <w:p w14:paraId="4254465B">
            <w:pPr>
              <w:pStyle w:val="8"/>
              <w:spacing w:line="500" w:lineRule="exact"/>
              <w:ind w:firstLine="0" w:firstLineChars="0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商务条款</w:t>
            </w:r>
          </w:p>
        </w:tc>
      </w:tr>
      <w:tr w14:paraId="75C2F0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8910" w:type="dxa"/>
            <w:gridSpan w:val="6"/>
            <w:vAlign w:val="center"/>
          </w:tcPr>
          <w:p w14:paraId="2EF6FC78">
            <w:pPr>
              <w:pStyle w:val="8"/>
              <w:spacing w:line="500" w:lineRule="exact"/>
              <w:ind w:firstLine="0" w:firstLineChars="0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</w:tbl>
    <w:p w14:paraId="277556EE">
      <w:pPr>
        <w:snapToGrid w:val="0"/>
        <w:spacing w:line="300" w:lineRule="auto"/>
        <w:rPr>
          <w:rFonts w:ascii="宋体" w:hAnsi="宋体"/>
          <w:color w:val="000000"/>
          <w:sz w:val="24"/>
        </w:rPr>
      </w:pPr>
    </w:p>
    <w:p w14:paraId="76CAAE54">
      <w:pPr>
        <w:snapToGrid w:val="0"/>
        <w:spacing w:line="300" w:lineRule="auto"/>
        <w:rPr>
          <w:rFonts w:ascii="仿宋_GB2312" w:hAnsi="仿宋_GB2312" w:eastAsia="仿宋_GB2312" w:cs="仿宋_GB2312"/>
          <w:color w:val="000000"/>
          <w:sz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</w:rPr>
        <w:t>说明：所有价格均用人民币表示，单位为元，精确到个位数。</w:t>
      </w:r>
    </w:p>
    <w:p w14:paraId="47A6F1FC">
      <w:pPr>
        <w:spacing w:line="560" w:lineRule="exact"/>
        <w:rPr>
          <w:rFonts w:ascii="仿宋" w:hAnsi="仿宋" w:eastAsia="仿宋" w:cs="仿宋"/>
          <w:sz w:val="30"/>
          <w:szCs w:val="30"/>
        </w:rPr>
      </w:pPr>
    </w:p>
    <w:p w14:paraId="0E51E7D6">
      <w:pPr>
        <w:spacing w:line="560" w:lineRule="exact"/>
        <w:rPr>
          <w:rFonts w:ascii="仿宋" w:hAnsi="仿宋" w:eastAsia="仿宋" w:cs="仿宋"/>
          <w:sz w:val="30"/>
          <w:szCs w:val="30"/>
        </w:rPr>
      </w:pPr>
    </w:p>
    <w:p w14:paraId="55FCFFA1">
      <w:pPr>
        <w:spacing w:line="560" w:lineRule="exact"/>
        <w:rPr>
          <w:rFonts w:ascii="仿宋" w:hAnsi="仿宋" w:eastAsia="仿宋" w:cs="仿宋"/>
          <w:sz w:val="30"/>
          <w:szCs w:val="30"/>
        </w:rPr>
      </w:pPr>
    </w:p>
    <w:p w14:paraId="1A59EDF4">
      <w:pPr>
        <w:spacing w:line="560" w:lineRule="exact"/>
        <w:rPr>
          <w:rFonts w:ascii="仿宋" w:hAnsi="仿宋" w:eastAsia="仿宋" w:cs="仿宋"/>
          <w:sz w:val="30"/>
          <w:szCs w:val="30"/>
        </w:rPr>
      </w:pPr>
    </w:p>
    <w:p w14:paraId="6D896995">
      <w:pPr>
        <w:spacing w:line="560" w:lineRule="exact"/>
        <w:rPr>
          <w:rFonts w:ascii="仿宋" w:hAnsi="仿宋" w:eastAsia="仿宋" w:cs="仿宋"/>
          <w:sz w:val="30"/>
          <w:szCs w:val="30"/>
        </w:rPr>
      </w:pPr>
    </w:p>
    <w:p w14:paraId="58D6D86E">
      <w:pPr>
        <w:spacing w:line="560" w:lineRule="exact"/>
        <w:rPr>
          <w:rFonts w:ascii="仿宋" w:hAnsi="仿宋" w:eastAsia="仿宋" w:cs="仿宋"/>
          <w:sz w:val="30"/>
          <w:szCs w:val="30"/>
        </w:rPr>
      </w:pPr>
    </w:p>
    <w:p w14:paraId="617AF923">
      <w:pPr>
        <w:spacing w:line="560" w:lineRule="exact"/>
        <w:rPr>
          <w:rFonts w:ascii="仿宋" w:hAnsi="仿宋" w:eastAsia="仿宋" w:cs="仿宋"/>
          <w:sz w:val="30"/>
          <w:szCs w:val="30"/>
        </w:rPr>
      </w:pPr>
    </w:p>
    <w:p w14:paraId="27F9618C">
      <w:pPr>
        <w:spacing w:line="560" w:lineRule="exact"/>
        <w:rPr>
          <w:rFonts w:ascii="仿宋" w:hAnsi="仿宋" w:eastAsia="仿宋" w:cs="仿宋"/>
          <w:sz w:val="30"/>
          <w:szCs w:val="30"/>
        </w:rPr>
      </w:pPr>
    </w:p>
    <w:p w14:paraId="7AE93207">
      <w:pPr>
        <w:spacing w:line="560" w:lineRule="exact"/>
        <w:rPr>
          <w:rFonts w:ascii="仿宋" w:hAnsi="仿宋" w:eastAsia="仿宋" w:cs="仿宋"/>
          <w:sz w:val="30"/>
          <w:szCs w:val="30"/>
        </w:rPr>
      </w:pPr>
    </w:p>
    <w:p w14:paraId="3861D57E">
      <w:pPr>
        <w:spacing w:line="560" w:lineRule="exact"/>
        <w:rPr>
          <w:rFonts w:ascii="仿宋" w:hAnsi="仿宋" w:eastAsia="仿宋" w:cs="仿宋"/>
          <w:sz w:val="30"/>
          <w:szCs w:val="30"/>
        </w:rPr>
      </w:pPr>
    </w:p>
    <w:p w14:paraId="40382247">
      <w:pPr>
        <w:spacing w:line="560" w:lineRule="exact"/>
        <w:rPr>
          <w:rFonts w:ascii="仿宋" w:hAnsi="仿宋" w:eastAsia="仿宋" w:cs="仿宋"/>
          <w:sz w:val="30"/>
          <w:szCs w:val="30"/>
        </w:rPr>
      </w:pPr>
    </w:p>
    <w:p w14:paraId="02CEE845">
      <w:pPr>
        <w:spacing w:line="400" w:lineRule="exac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color w:val="000000"/>
          <w:sz w:val="30"/>
          <w:szCs w:val="30"/>
        </w:rPr>
        <w:t>附件2：</w:t>
      </w:r>
    </w:p>
    <w:p w14:paraId="5BA63B12">
      <w:pPr>
        <w:spacing w:line="560" w:lineRule="exact"/>
        <w:rPr>
          <w:rFonts w:ascii="仿宋" w:hAnsi="仿宋" w:eastAsia="仿宋" w:cs="仿宋"/>
          <w:sz w:val="30"/>
          <w:szCs w:val="30"/>
        </w:rPr>
      </w:pPr>
    </w:p>
    <w:tbl>
      <w:tblPr>
        <w:tblStyle w:val="9"/>
        <w:tblW w:w="4985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2"/>
        <w:gridCol w:w="2723"/>
        <w:gridCol w:w="6229"/>
      </w:tblGrid>
      <w:tr w14:paraId="3A8182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500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9475E2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项目服务需求说明</w:t>
            </w:r>
          </w:p>
        </w:tc>
      </w:tr>
      <w:tr w14:paraId="3D9D22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6E2E3E">
            <w:pPr>
              <w:spacing w:line="440" w:lineRule="exac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项目名称</w:t>
            </w:r>
          </w:p>
        </w:tc>
        <w:tc>
          <w:tcPr>
            <w:tcW w:w="455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959973">
            <w:pPr>
              <w:spacing w:line="440" w:lineRule="exac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“双优计划”建设期满验收服务（</w:t>
            </w:r>
            <w:r>
              <w:rPr>
                <w:rFonts w:hint="eastAsia" w:ascii="仿宋" w:hAnsi="仿宋" w:eastAsia="仿宋" w:cs="仿宋"/>
                <w:color w:val="FF0000"/>
                <w:sz w:val="30"/>
                <w:szCs w:val="30"/>
              </w:rPr>
              <w:t>验收指导服务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）</w:t>
            </w:r>
          </w:p>
        </w:tc>
      </w:tr>
      <w:tr w14:paraId="6AFF9A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B43B9C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序号</w:t>
            </w:r>
          </w:p>
        </w:tc>
        <w:tc>
          <w:tcPr>
            <w:tcW w:w="138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2747BC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服务名称</w:t>
            </w:r>
          </w:p>
        </w:tc>
        <w:tc>
          <w:tcPr>
            <w:tcW w:w="31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DF6DBD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服务内容和参数要求</w:t>
            </w:r>
          </w:p>
        </w:tc>
      </w:tr>
      <w:tr w14:paraId="41E921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5A21F9">
            <w:pPr>
              <w:spacing w:line="36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</w:t>
            </w:r>
          </w:p>
        </w:tc>
        <w:tc>
          <w:tcPr>
            <w:tcW w:w="138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00AB9B">
            <w:pPr>
              <w:snapToGrid w:val="0"/>
              <w:spacing w:line="36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“双优计划”中期评估诊改服务</w:t>
            </w:r>
          </w:p>
        </w:tc>
        <w:tc>
          <w:tcPr>
            <w:tcW w:w="31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B661F5">
            <w:pPr>
              <w:tabs>
                <w:tab w:val="left" w:pos="180"/>
                <w:tab w:val="left" w:pos="1620"/>
              </w:tabs>
              <w:spacing w:line="36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对我校“双优计划”中期评估数据、材料进行分析，形成“双优计划”中期评估诊改报告，制定2026年“双优计划”建设改进方案。</w:t>
            </w:r>
          </w:p>
        </w:tc>
      </w:tr>
      <w:tr w14:paraId="6A640C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B5BC2F">
            <w:pPr>
              <w:spacing w:line="36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</w:t>
            </w:r>
          </w:p>
        </w:tc>
        <w:tc>
          <w:tcPr>
            <w:tcW w:w="138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F402ED">
            <w:pPr>
              <w:spacing w:line="36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“双优计划”标志性成果打造咨询指导服务</w:t>
            </w:r>
          </w:p>
        </w:tc>
        <w:tc>
          <w:tcPr>
            <w:tcW w:w="31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F7D4A5">
            <w:pPr>
              <w:tabs>
                <w:tab w:val="left" w:pos="180"/>
                <w:tab w:val="left" w:pos="1620"/>
              </w:tabs>
              <w:spacing w:line="360" w:lineRule="exac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针对学校标志性成果打造所面临的瓶颈问题，提供相关政策信息支持，指导学校优化标志性成果的打造方向，制定具有针对性的调整策略以及高质量标志性成果的打造路径。 </w:t>
            </w:r>
          </w:p>
        </w:tc>
      </w:tr>
      <w:tr w14:paraId="6F2D25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3DE722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</w:t>
            </w:r>
          </w:p>
        </w:tc>
        <w:tc>
          <w:tcPr>
            <w:tcW w:w="138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4A4BC5">
            <w:pPr>
              <w:spacing w:line="36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专项培训及过程咨询服务</w:t>
            </w:r>
          </w:p>
        </w:tc>
        <w:tc>
          <w:tcPr>
            <w:tcW w:w="31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ED7293">
            <w:pPr>
              <w:spacing w:line="360" w:lineRule="exac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1.专家专项培训：邀请熟悉“双优计划”验收流程、指标体系，具备丰富的验收评审经验，且有高校或中职学校“双高计划”或“双优计划”建设指导经历，围绕 “双优计划” 开展专题培训，提升教师对建设任务的理解与实践能力。</w:t>
            </w:r>
            <w:r>
              <w:rPr>
                <w:rFonts w:hint="eastAsia" w:ascii="仿宋" w:hAnsi="仿宋" w:eastAsia="仿宋" w:cs="仿宋"/>
                <w:color w:val="FF0000"/>
                <w:sz w:val="30"/>
                <w:szCs w:val="30"/>
              </w:rPr>
              <w:t>培训次数≥5次（600分钟）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。</w:t>
            </w:r>
          </w:p>
          <w:p w14:paraId="2568DA37">
            <w:pPr>
              <w:spacing w:line="360" w:lineRule="exac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2.能力提升咨询：帮助教师把握项目建设内涵，了解工作要求、工作思路与方法，保障期满验收成效，全面提升学校“双优计划”建设水平。工作日24小时内响应。</w:t>
            </w:r>
          </w:p>
          <w:p w14:paraId="48B21806">
            <w:pPr>
              <w:spacing w:line="360" w:lineRule="exac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3.核心内容培训：聚焦 “双优计划” 建设任务、绩效指标、标志性成果提炼、特色项目打造等关键模块。</w:t>
            </w:r>
          </w:p>
          <w:p w14:paraId="5EB73044">
            <w:pPr>
              <w:spacing w:line="360" w:lineRule="exac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4.</w:t>
            </w:r>
            <w:r>
              <w:rPr>
                <w:rFonts w:hint="eastAsia" w:ascii="仿宋" w:hAnsi="仿宋" w:eastAsia="仿宋" w:cs="仿宋"/>
                <w:color w:val="FF0000"/>
                <w:sz w:val="30"/>
                <w:szCs w:val="30"/>
              </w:rPr>
              <w:t>培训形式：线下专题一对多指导培训；咨询形式：采用专项检查指导、多对一线上咨询指导、线下专项指导等方式，强化实操能力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。</w:t>
            </w:r>
          </w:p>
        </w:tc>
      </w:tr>
      <w:tr w14:paraId="44835E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F96BFB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</w:t>
            </w:r>
          </w:p>
        </w:tc>
        <w:tc>
          <w:tcPr>
            <w:tcW w:w="138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4318B7">
            <w:pPr>
              <w:spacing w:line="36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佐证材料咨询指导服务</w:t>
            </w:r>
          </w:p>
        </w:tc>
        <w:tc>
          <w:tcPr>
            <w:tcW w:w="31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983EF7">
            <w:pPr>
              <w:spacing w:line="360" w:lineRule="exac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1.制定佐证材料规范化示范示例，明确撰写、整理规范与统一标准，为实操提供清晰指引。</w:t>
            </w:r>
          </w:p>
          <w:p w14:paraId="75923540">
            <w:pPr>
              <w:spacing w:line="360" w:lineRule="exac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2.提供佐证材料格式、内容、归档要求专项提升服务，规范材料质量。</w:t>
            </w:r>
          </w:p>
          <w:p w14:paraId="64361C82">
            <w:pPr>
              <w:spacing w:line="360" w:lineRule="exac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3.开展佐证材料规范化现场/专项指导，解决实际整理与提交问题。</w:t>
            </w:r>
          </w:p>
          <w:p w14:paraId="016869F5">
            <w:pPr>
              <w:spacing w:line="360" w:lineRule="exac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4.实现佐证材料统一化、标准化管理与高效使用，提升整体规范化水平。</w:t>
            </w:r>
          </w:p>
        </w:tc>
      </w:tr>
      <w:tr w14:paraId="32CAA3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774BFA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5</w:t>
            </w:r>
          </w:p>
        </w:tc>
        <w:tc>
          <w:tcPr>
            <w:tcW w:w="138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2CBD66">
            <w:pPr>
              <w:spacing w:line="36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自评报告指导修订服务</w:t>
            </w:r>
          </w:p>
        </w:tc>
        <w:tc>
          <w:tcPr>
            <w:tcW w:w="31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4238A6">
            <w:pPr>
              <w:spacing w:line="360" w:lineRule="exact"/>
              <w:jc w:val="lef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1.解读项目建设任务书及佐证材料提供自评报告前期指导服务。</w:t>
            </w:r>
          </w:p>
          <w:p w14:paraId="6774EDF3">
            <w:pPr>
              <w:spacing w:line="360" w:lineRule="exact"/>
              <w:jc w:val="lef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（1）验收指标解读：明确自评报告需对应“双优计划”建设任务书、绩效指标体系，逐一拆解指标内涵、自评要点、佐证匹配要求，确保撰写方向不偏差。</w:t>
            </w:r>
          </w:p>
          <w:p w14:paraId="385193EA">
            <w:pPr>
              <w:spacing w:line="360" w:lineRule="exact"/>
              <w:jc w:val="lef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（2）报告框架指导：提供标准化自评报告框架（含前言、建设概况、任务完成情况、绩效指标达成情况、标志性成果、特色亮点、存在问题、改进措施、总结等核心模块），明确各模块撰写要求、字数占比。</w:t>
            </w:r>
          </w:p>
          <w:p w14:paraId="40EC82E8">
            <w:pPr>
              <w:spacing w:line="360" w:lineRule="exac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（3）基础材料梳理：指导学校梳理建设期间的各类佐证材料、数据、案例，明确哪些内容可作为核心亮点、哪些需补充完善，确保报告内容有支撑、不空洞。</w:t>
            </w:r>
          </w:p>
          <w:p w14:paraId="327BC799">
            <w:pPr>
              <w:spacing w:line="360" w:lineRule="exac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2.自评报告撰写指导。</w:t>
            </w:r>
          </w:p>
          <w:p w14:paraId="7F495CA1">
            <w:pPr>
              <w:spacing w:line="360" w:lineRule="exac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（1）内容撰写指导：指导撰写人员围绕各模块，规范表述建设举措、完成情况、成效亮点，避免空话、套话，突出数据化、案例化呈现（如建设投入数据、成果数量、典型案例等）。</w:t>
            </w:r>
          </w:p>
          <w:p w14:paraId="323D856E">
            <w:pPr>
              <w:spacing w:line="360" w:lineRule="exac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（2）成果提炼指导：指导提炼“双优计划”建设中的标志性成果、特色项目，明确成果的创新性、实效性、示范性，贴合验收重点要求。</w:t>
            </w:r>
          </w:p>
          <w:p w14:paraId="24AAC993">
            <w:pPr>
              <w:spacing w:line="360" w:lineRule="exac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（3）问题与改进指导：指导客观梳理建设过程中存在的问题，提出具体、可落地的改进措施，避免问题空泛、措施流于形式。</w:t>
            </w:r>
          </w:p>
          <w:p w14:paraId="14D3D326">
            <w:pPr>
              <w:spacing w:line="360" w:lineRule="exact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3.自评报告修订指导。</w:t>
            </w:r>
          </w:p>
          <w:p w14:paraId="071D8F27">
            <w:pPr>
              <w:spacing w:line="360" w:lineRule="exact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（1）初审修订：对学校提交的初稿进行全面审核，重点检查内容完整性、指标对应性、数据真实性、文字规范性，形成详细修订意见（标注修改部位、修改建议）。</w:t>
            </w:r>
          </w:p>
          <w:p w14:paraId="6AD20AF8">
            <w:pPr>
              <w:spacing w:line="360" w:lineRule="exact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（2）复审优化：针对学校修改后的版本，再次审核，重点核查修订意见落实情况、指标契合度、亮点突出度，确保无遗漏、无偏差，形成终稿指导意见。</w:t>
            </w:r>
          </w:p>
          <w:p w14:paraId="76B36B27">
            <w:pPr>
              <w:spacing w:line="360" w:lineRule="exac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（3）格式规范：指导学校按照验收要求，规范报告字体、字号、行距、页眉页脚、目录、附件编排等，确保格式统一、美观，符合归档要求。</w:t>
            </w:r>
          </w:p>
        </w:tc>
      </w:tr>
      <w:tr w14:paraId="1B3B63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145308">
            <w:pPr>
              <w:spacing w:line="44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6</w:t>
            </w:r>
          </w:p>
        </w:tc>
        <w:tc>
          <w:tcPr>
            <w:tcW w:w="138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DE5883">
            <w:pPr>
              <w:spacing w:line="36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模拟检查与评审服务</w:t>
            </w:r>
          </w:p>
        </w:tc>
        <w:tc>
          <w:tcPr>
            <w:tcW w:w="31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7ED874">
            <w:pPr>
              <w:spacing w:line="360" w:lineRule="exact"/>
              <w:jc w:val="lef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1.模拟验收评审：组建贴合“双优计划”官方验收标准的评审专家组，模拟正式验收流程，对学校自评报告及配套佐证材料进行全面评审，还原验收场景。</w:t>
            </w:r>
          </w:p>
          <w:p w14:paraId="1062D372">
            <w:pPr>
              <w:spacing w:line="360" w:lineRule="exact"/>
              <w:jc w:val="lef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2.专项检查核查：重点检查自评报告与验收指标的契合度、佐证材料的完整性与规范性、成果表述的准确性，排查内容遗漏、数据偏差、格式不规范等问题。</w:t>
            </w:r>
          </w:p>
          <w:p w14:paraId="24B5E62F">
            <w:pPr>
              <w:spacing w:line="360" w:lineRule="exact"/>
              <w:jc w:val="lef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3.评审意见反馈：形成详细的模拟评审报告，明确指出存在的问题、不足及整改方向，提供具体可操作的整改建议，标注整改优先级。</w:t>
            </w:r>
          </w:p>
          <w:p w14:paraId="06F29752">
            <w:pPr>
              <w:spacing w:line="360" w:lineRule="exact"/>
              <w:jc w:val="lef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4.整改指导跟进：针对评审中发现的问题，指导学校完成自评报告及佐证材料的补充、修订，跟踪整改落实情况，确保整改到位，符合验收要求。</w:t>
            </w:r>
          </w:p>
        </w:tc>
      </w:tr>
    </w:tbl>
    <w:p w14:paraId="1C7D9C7C">
      <w:pPr>
        <w:spacing w:line="560" w:lineRule="exact"/>
        <w:rPr>
          <w:rFonts w:ascii="仿宋" w:hAnsi="仿宋" w:eastAsia="仿宋" w:cs="仿宋"/>
          <w:sz w:val="30"/>
          <w:szCs w:val="30"/>
        </w:rPr>
      </w:pPr>
    </w:p>
    <w:p w14:paraId="3DBBFE46">
      <w:bookmarkStart w:id="0" w:name="_GoBack"/>
      <w:bookmarkEnd w:id="0"/>
    </w:p>
    <w:sectPr>
      <w:footerReference r:id="rId3" w:type="default"/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8205DB52-12C9-4FDC-BFCD-DF88452ED94E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  <w:embedRegular r:id="rId2" w:fontKey="{8B8170B6-3730-4EFF-AC8F-EAA4CDCE8F5E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F128755E-254D-4BD6-B9BC-66841D833120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4" w:fontKey="{951A7B26-B72E-44F6-A011-64D905CD1F3E}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  <w:embedRegular r:id="rId5" w:fontKey="{A518B83B-452A-4CFC-BEB9-EED40C4DA56A}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8852770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1EDD8F"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C58553E">
                          <w:pPr>
                            <w:pStyle w:val="6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7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C58553E">
                    <w:pPr>
                      <w:pStyle w:val="6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7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033231"/>
    <w:rsid w:val="3D033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autoSpaceDE w:val="0"/>
      <w:autoSpaceDN w:val="0"/>
      <w:spacing w:after="120"/>
      <w:jc w:val="left"/>
    </w:pPr>
    <w:rPr>
      <w:rFonts w:ascii="宋体"/>
      <w:kern w:val="0"/>
      <w:sz w:val="34"/>
      <w:szCs w:val="20"/>
    </w:rPr>
  </w:style>
  <w:style w:type="paragraph" w:styleId="3">
    <w:name w:val="Plain Text"/>
    <w:basedOn w:val="1"/>
    <w:qFormat/>
    <w:uiPriority w:val="0"/>
    <w:rPr>
      <w:rFonts w:ascii="宋体" w:hAnsi="Courier New"/>
      <w:szCs w:val="20"/>
    </w:rPr>
  </w:style>
  <w:style w:type="paragraph" w:styleId="4">
    <w:name w:val="Body Text Indent"/>
    <w:basedOn w:val="1"/>
    <w:next w:val="5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paragraph" w:styleId="5">
    <w:name w:val="envelope return"/>
    <w:basedOn w:val="1"/>
    <w:qFormat/>
    <w:uiPriority w:val="0"/>
    <w:pPr>
      <w:widowControl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Body Text First Indent"/>
    <w:basedOn w:val="2"/>
    <w:qFormat/>
    <w:uiPriority w:val="0"/>
    <w:pPr>
      <w:snapToGrid w:val="0"/>
      <w:spacing w:line="360" w:lineRule="auto"/>
      <w:ind w:right="240" w:firstLine="420" w:firstLineChars="100"/>
    </w:pPr>
    <w:rPr>
      <w:rFonts w:hAnsi="宋体" w:eastAsia="方正仿宋_GBK"/>
      <w:kern w:val="2"/>
      <w:sz w:val="21"/>
      <w:szCs w:val="28"/>
    </w:rPr>
  </w:style>
  <w:style w:type="paragraph" w:styleId="8">
    <w:name w:val="Body Text First Indent 2"/>
    <w:basedOn w:val="4"/>
    <w:next w:val="7"/>
    <w:qFormat/>
    <w:uiPriority w:val="0"/>
    <w:pPr>
      <w:ind w:firstLine="420" w:firstLineChars="200"/>
    </w:pPr>
  </w:style>
  <w:style w:type="character" w:customStyle="1" w:styleId="11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2026-03-09T07:02:00Z</dcterms:created>
  <dc:creator>祖国的花朵</dc:creator>
  <cp:lastModifiedBy>祖国的花朵</cp:lastModifiedBy>
  <dcterms:modified xsi:type="dcterms:W3CDTF">2026-03-09T07:02:59Z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FB413EF2274D434E931CE40EEB58E784_11</vt:lpwstr>
  </property>
  <property fmtid="{D5CDD505-2E9C-101B-9397-08002B2CF9AE}" pid="4" name="KSOTemplateDocerSaveRecord">
    <vt:lpwstr>eyJoZGlkIjoiNTgxMmYwZTM3NTQzOTgzZGIyZjQ3OTlkMWQxYmE4MjIiLCJ1c2VySWQiOiIzODk2NjEyOTUifQ==</vt:lpwstr>
  </property>
</Properties>
</file>