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95A453D">
      <w:pPr>
        <w:spacing w:line="520" w:lineRule="exact"/>
        <w:jc w:val="center"/>
        <w:rPr>
          <w:rFonts w:cs="仿宋" w:asciiTheme="majorEastAsia" w:hAnsiTheme="majorEastAsia" w:eastAsiaTheme="majorEastAsia"/>
          <w:b/>
          <w:sz w:val="44"/>
          <w:szCs w:val="44"/>
        </w:rPr>
      </w:pPr>
      <w:bookmarkStart w:id="2" w:name="_GoBack"/>
      <w:r>
        <w:rPr>
          <w:rFonts w:hint="eastAsia" w:cs="仿宋" w:asciiTheme="majorEastAsia" w:hAnsiTheme="majorEastAsia" w:eastAsiaTheme="majorEastAsia"/>
          <w:b/>
          <w:sz w:val="44"/>
          <w:szCs w:val="44"/>
        </w:rPr>
        <w:t>南宁市卫生学校消防、安保设备设施购置</w:t>
      </w:r>
    </w:p>
    <w:p w14:paraId="41A3917A">
      <w:pPr>
        <w:spacing w:line="520" w:lineRule="exact"/>
        <w:jc w:val="center"/>
        <w:rPr>
          <w:rFonts w:cs="仿宋" w:asciiTheme="majorEastAsia" w:hAnsiTheme="majorEastAsia" w:eastAsiaTheme="majorEastAsia"/>
          <w:b/>
          <w:sz w:val="44"/>
          <w:szCs w:val="44"/>
        </w:rPr>
      </w:pPr>
      <w:r>
        <w:rPr>
          <w:rFonts w:hint="eastAsia" w:cs="仿宋" w:asciiTheme="majorEastAsia" w:hAnsiTheme="majorEastAsia" w:eastAsiaTheme="majorEastAsia"/>
          <w:b/>
          <w:sz w:val="44"/>
          <w:szCs w:val="44"/>
        </w:rPr>
        <w:t>项目</w:t>
      </w:r>
      <w:r>
        <w:rPr>
          <w:rFonts w:hint="eastAsia" w:asciiTheme="majorEastAsia" w:hAnsiTheme="majorEastAsia" w:eastAsiaTheme="majorEastAsia"/>
          <w:b/>
          <w:sz w:val="44"/>
          <w:szCs w:val="44"/>
        </w:rPr>
        <w:t>采购文件</w:t>
      </w:r>
    </w:p>
    <w:p w14:paraId="207B6894">
      <w:pPr>
        <w:spacing w:line="520" w:lineRule="exact"/>
        <w:ind w:firstLine="883"/>
        <w:jc w:val="center"/>
        <w:rPr>
          <w:rFonts w:asciiTheme="majorEastAsia" w:hAnsiTheme="majorEastAsia" w:eastAsiaTheme="majorEastAsia"/>
          <w:b/>
          <w:sz w:val="44"/>
          <w:szCs w:val="44"/>
        </w:rPr>
      </w:pPr>
    </w:p>
    <w:p w14:paraId="4148F4CF">
      <w:pPr>
        <w:spacing w:line="520" w:lineRule="exact"/>
        <w:ind w:firstLine="600" w:firstLineChars="200"/>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现对“南宁市卫生学校消防、安保设备设施购置项目”进行校内询价，欢迎满足资格要求的相关单位前来参加，具体事宜公告如下：</w:t>
      </w:r>
      <w:r>
        <w:rPr>
          <w:rFonts w:hint="eastAsia" w:ascii="仿宋" w:hAnsi="仿宋" w:eastAsia="仿宋"/>
          <w:color w:val="000000" w:themeColor="text1"/>
          <w:sz w:val="30"/>
          <w:szCs w:val="30"/>
          <w14:textFill>
            <w14:solidFill>
              <w14:schemeClr w14:val="tx1"/>
            </w14:solidFill>
          </w14:textFill>
        </w:rPr>
        <w:br w:type="textWrapping"/>
      </w:r>
      <w:r>
        <w:rPr>
          <w:rFonts w:ascii="仿宋" w:hAnsi="仿宋" w:eastAsia="仿宋"/>
          <w:color w:val="000000" w:themeColor="text1"/>
          <w:sz w:val="30"/>
          <w:szCs w:val="30"/>
          <w14:textFill>
            <w14:solidFill>
              <w14:schemeClr w14:val="tx1"/>
            </w14:solidFill>
          </w14:textFill>
        </w:rPr>
        <w:t xml:space="preserve">    </w:t>
      </w:r>
      <w:r>
        <w:rPr>
          <w:rFonts w:hint="eastAsia" w:ascii="仿宋" w:hAnsi="仿宋" w:eastAsia="仿宋"/>
          <w:color w:val="000000" w:themeColor="text1"/>
          <w:sz w:val="30"/>
          <w:szCs w:val="30"/>
          <w14:textFill>
            <w14:solidFill>
              <w14:schemeClr w14:val="tx1"/>
            </w14:solidFill>
          </w14:textFill>
        </w:rPr>
        <w:t>一、项目名称：消防、安保设备设施购置项目</w:t>
      </w:r>
    </w:p>
    <w:p w14:paraId="45FE8DBE">
      <w:pPr>
        <w:spacing w:line="520" w:lineRule="exact"/>
        <w:ind w:firstLine="600" w:firstLineChars="200"/>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二、采购内容：详见附件。</w:t>
      </w:r>
    </w:p>
    <w:p w14:paraId="0E08F22E">
      <w:pPr>
        <w:spacing w:line="520" w:lineRule="exact"/>
        <w:ind w:firstLine="600" w:firstLineChars="200"/>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三、采购</w:t>
      </w:r>
      <w:r>
        <w:rPr>
          <w:rFonts w:ascii="仿宋" w:hAnsi="仿宋" w:eastAsia="仿宋"/>
          <w:color w:val="000000" w:themeColor="text1"/>
          <w:sz w:val="30"/>
          <w:szCs w:val="30"/>
          <w14:textFill>
            <w14:solidFill>
              <w14:schemeClr w14:val="tx1"/>
            </w14:solidFill>
          </w14:textFill>
        </w:rPr>
        <w:t>预算</w:t>
      </w:r>
      <w:r>
        <w:rPr>
          <w:rFonts w:hint="eastAsia" w:ascii="仿宋" w:hAnsi="仿宋" w:eastAsia="仿宋"/>
          <w:color w:val="000000" w:themeColor="text1"/>
          <w:sz w:val="30"/>
          <w:szCs w:val="30"/>
          <w14:textFill>
            <w14:solidFill>
              <w14:schemeClr w14:val="tx1"/>
            </w14:solidFill>
          </w14:textFill>
        </w:rPr>
        <w:t>：60000.00元</w:t>
      </w:r>
    </w:p>
    <w:p w14:paraId="273955D7">
      <w:pPr>
        <w:spacing w:line="520" w:lineRule="exact"/>
        <w:ind w:firstLine="600" w:firstLineChars="200"/>
        <w:jc w:val="left"/>
        <w:rPr>
          <w:rFonts w:ascii="仿宋" w:hAnsi="仿宋" w:eastAsia="仿宋"/>
          <w:color w:val="000000" w:themeColor="text1"/>
          <w:sz w:val="30"/>
          <w:szCs w:val="30"/>
          <w14:textFill>
            <w14:solidFill>
              <w14:schemeClr w14:val="tx1"/>
            </w14:solidFill>
          </w14:textFill>
        </w:rPr>
      </w:pPr>
      <w:r>
        <w:rPr>
          <w:rFonts w:hint="eastAsia" w:ascii="仿宋" w:hAnsi="仿宋" w:eastAsia="仿宋"/>
          <w:color w:val="000000" w:themeColor="text1"/>
          <w:sz w:val="30"/>
          <w:szCs w:val="30"/>
          <w14:textFill>
            <w14:solidFill>
              <w14:schemeClr w14:val="tx1"/>
            </w14:solidFill>
          </w14:textFill>
        </w:rPr>
        <w:t>四、采购方式：校内询价</w:t>
      </w:r>
      <w:r>
        <w:rPr>
          <w:rFonts w:hint="eastAsia" w:ascii="仿宋" w:hAnsi="仿宋" w:eastAsia="仿宋"/>
          <w:color w:val="000000" w:themeColor="text1"/>
          <w:sz w:val="30"/>
          <w:szCs w:val="30"/>
          <w14:textFill>
            <w14:solidFill>
              <w14:schemeClr w14:val="tx1"/>
            </w14:solidFill>
          </w14:textFill>
        </w:rPr>
        <w:br w:type="textWrapping"/>
      </w:r>
      <w:r>
        <w:rPr>
          <w:rFonts w:hint="eastAsia" w:ascii="宋体" w:hAnsi="宋体" w:cs="宋体"/>
          <w:color w:val="000000" w:themeColor="text1"/>
          <w:sz w:val="30"/>
          <w:szCs w:val="30"/>
          <w14:textFill>
            <w14:solidFill>
              <w14:schemeClr w14:val="tx1"/>
            </w14:solidFill>
          </w14:textFill>
        </w:rPr>
        <w:t> </w:t>
      </w:r>
      <w:r>
        <w:rPr>
          <w:rFonts w:hint="eastAsia" w:ascii="仿宋" w:hAnsi="仿宋" w:eastAsia="仿宋"/>
          <w:color w:val="000000" w:themeColor="text1"/>
          <w:sz w:val="30"/>
          <w:szCs w:val="30"/>
          <w14:textFill>
            <w14:solidFill>
              <w14:schemeClr w14:val="tx1"/>
            </w14:solidFill>
          </w14:textFill>
        </w:rPr>
        <w:t xml:space="preserve">  五、供应商资格要求：</w:t>
      </w:r>
      <w:r>
        <w:rPr>
          <w:rFonts w:hint="eastAsia" w:ascii="仿宋" w:hAnsi="仿宋" w:eastAsia="仿宋" w:cs="仿宋"/>
          <w:bCs/>
          <w:sz w:val="30"/>
          <w:szCs w:val="30"/>
        </w:rPr>
        <w:t>1、投标人应符合《中华人民共和国政府采购法》第二十二条规定；2、具有国内法人资格，生产或经营能力满足采购内容的供应商；3、不接受联合体投标。</w:t>
      </w:r>
    </w:p>
    <w:p w14:paraId="5F8A3FD3">
      <w:pPr>
        <w:spacing w:line="520" w:lineRule="exact"/>
        <w:ind w:firstLine="600" w:firstLineChars="200"/>
        <w:rPr>
          <w:rFonts w:ascii="仿宋" w:hAnsi="仿宋" w:eastAsia="仿宋"/>
          <w:sz w:val="30"/>
          <w:szCs w:val="30"/>
        </w:rPr>
      </w:pPr>
      <w:r>
        <w:rPr>
          <w:rFonts w:hint="eastAsia" w:ascii="仿宋" w:hAnsi="仿宋" w:eastAsia="仿宋"/>
          <w:color w:val="000000" w:themeColor="text1"/>
          <w:sz w:val="30"/>
          <w:szCs w:val="30"/>
          <w14:textFill>
            <w14:solidFill>
              <w14:schemeClr w14:val="tx1"/>
            </w14:solidFill>
          </w14:textFill>
        </w:rPr>
        <w:t>六、获取采购文件方式：网上下载，本项目不发放纸质采购文件，无需报名。</w:t>
      </w:r>
      <w:r>
        <w:rPr>
          <w:rFonts w:hint="eastAsia" w:ascii="仿宋" w:hAnsi="仿宋" w:eastAsia="仿宋"/>
          <w:color w:val="000000" w:themeColor="text1"/>
          <w:sz w:val="30"/>
          <w:szCs w:val="30"/>
          <w14:textFill>
            <w14:solidFill>
              <w14:schemeClr w14:val="tx1"/>
            </w14:solidFill>
          </w14:textFill>
        </w:rPr>
        <w:br w:type="textWrapping"/>
      </w:r>
      <w:r>
        <w:rPr>
          <w:rFonts w:hint="eastAsia" w:ascii="宋体" w:hAnsi="宋体" w:cs="宋体"/>
          <w:color w:val="000000" w:themeColor="text1"/>
          <w:sz w:val="30"/>
          <w:szCs w:val="30"/>
          <w14:textFill>
            <w14:solidFill>
              <w14:schemeClr w14:val="tx1"/>
            </w14:solidFill>
          </w14:textFill>
        </w:rPr>
        <w:t> </w:t>
      </w:r>
      <w:r>
        <w:rPr>
          <w:rFonts w:hint="eastAsia" w:ascii="仿宋" w:hAnsi="仿宋" w:eastAsia="仿宋"/>
          <w:color w:val="000000" w:themeColor="text1"/>
          <w:sz w:val="30"/>
          <w:szCs w:val="30"/>
          <w14:textFill>
            <w14:solidFill>
              <w14:schemeClr w14:val="tx1"/>
            </w14:solidFill>
          </w14:textFill>
        </w:rPr>
        <w:t xml:space="preserve">  七、递交竞价文件时间：供应商将报价文件签字盖章并密封后，在2025年</w:t>
      </w:r>
      <w:r>
        <w:rPr>
          <w:rFonts w:hint="eastAsia" w:ascii="仿宋" w:hAnsi="仿宋" w:eastAsia="仿宋"/>
          <w:color w:val="000000" w:themeColor="text1"/>
          <w:sz w:val="30"/>
          <w:szCs w:val="30"/>
          <w:u w:val="single"/>
          <w14:textFill>
            <w14:solidFill>
              <w14:schemeClr w14:val="tx1"/>
            </w14:solidFill>
          </w14:textFill>
        </w:rPr>
        <w:t>_</w:t>
      </w:r>
      <w:r>
        <w:rPr>
          <w:rFonts w:hint="eastAsia" w:ascii="仿宋" w:hAnsi="仿宋" w:eastAsia="仿宋"/>
          <w:color w:val="000000" w:themeColor="text1"/>
          <w:sz w:val="30"/>
          <w:szCs w:val="30"/>
          <w:u w:val="single"/>
          <w:lang w:val="en-US" w:eastAsia="zh-CN"/>
          <w14:textFill>
            <w14:solidFill>
              <w14:schemeClr w14:val="tx1"/>
            </w14:solidFill>
          </w14:textFill>
        </w:rPr>
        <w:t>6</w:t>
      </w:r>
      <w:r>
        <w:rPr>
          <w:rFonts w:hint="eastAsia" w:ascii="仿宋" w:hAnsi="仿宋" w:eastAsia="仿宋"/>
          <w:color w:val="000000" w:themeColor="text1"/>
          <w:sz w:val="30"/>
          <w:szCs w:val="30"/>
          <w:u w:val="single"/>
          <w14:textFill>
            <w14:solidFill>
              <w14:schemeClr w14:val="tx1"/>
            </w14:solidFill>
          </w14:textFill>
        </w:rPr>
        <w:t>_</w:t>
      </w:r>
      <w:r>
        <w:rPr>
          <w:rFonts w:hint="eastAsia" w:ascii="仿宋" w:hAnsi="仿宋" w:eastAsia="仿宋"/>
          <w:color w:val="000000" w:themeColor="text1"/>
          <w:sz w:val="30"/>
          <w:szCs w:val="30"/>
          <w14:textFill>
            <w14:solidFill>
              <w14:schemeClr w14:val="tx1"/>
            </w14:solidFill>
          </w14:textFill>
        </w:rPr>
        <w:t>月</w:t>
      </w:r>
      <w:r>
        <w:rPr>
          <w:rFonts w:hint="eastAsia" w:ascii="仿宋" w:hAnsi="仿宋" w:eastAsia="仿宋"/>
          <w:color w:val="000000" w:themeColor="text1"/>
          <w:sz w:val="30"/>
          <w:szCs w:val="30"/>
          <w:u w:val="single"/>
          <w14:textFill>
            <w14:solidFill>
              <w14:schemeClr w14:val="tx1"/>
            </w14:solidFill>
          </w14:textFill>
        </w:rPr>
        <w:t>_</w:t>
      </w:r>
      <w:r>
        <w:rPr>
          <w:rFonts w:hint="eastAsia" w:ascii="仿宋" w:hAnsi="仿宋" w:eastAsia="仿宋"/>
          <w:color w:val="000000" w:themeColor="text1"/>
          <w:sz w:val="30"/>
          <w:szCs w:val="30"/>
          <w:u w:val="single"/>
          <w:lang w:val="en-US" w:eastAsia="zh-CN"/>
          <w14:textFill>
            <w14:solidFill>
              <w14:schemeClr w14:val="tx1"/>
            </w14:solidFill>
          </w14:textFill>
        </w:rPr>
        <w:t>18</w:t>
      </w:r>
      <w:r>
        <w:rPr>
          <w:rFonts w:hint="eastAsia" w:ascii="仿宋" w:hAnsi="仿宋" w:eastAsia="仿宋"/>
          <w:color w:val="000000" w:themeColor="text1"/>
          <w:sz w:val="30"/>
          <w:szCs w:val="30"/>
          <w:u w:val="single"/>
          <w14:textFill>
            <w14:solidFill>
              <w14:schemeClr w14:val="tx1"/>
            </w14:solidFill>
          </w14:textFill>
        </w:rPr>
        <w:t>_</w:t>
      </w:r>
      <w:r>
        <w:rPr>
          <w:rFonts w:hint="eastAsia" w:ascii="仿宋" w:hAnsi="仿宋" w:eastAsia="仿宋"/>
          <w:color w:val="000000" w:themeColor="text1"/>
          <w:sz w:val="30"/>
          <w:szCs w:val="30"/>
          <w14:textFill>
            <w14:solidFill>
              <w14:schemeClr w14:val="tx1"/>
            </w14:solidFill>
          </w14:textFill>
        </w:rPr>
        <w:t>日</w:t>
      </w:r>
      <w:r>
        <w:rPr>
          <w:rFonts w:hint="eastAsia" w:ascii="仿宋" w:hAnsi="仿宋" w:eastAsia="仿宋"/>
          <w:color w:val="000000" w:themeColor="text1"/>
          <w:sz w:val="30"/>
          <w:szCs w:val="30"/>
          <w:u w:val="single"/>
          <w14:textFill>
            <w14:solidFill>
              <w14:schemeClr w14:val="tx1"/>
            </w14:solidFill>
          </w14:textFill>
        </w:rPr>
        <w:t>_</w:t>
      </w:r>
      <w:r>
        <w:rPr>
          <w:rFonts w:hint="eastAsia" w:ascii="仿宋" w:hAnsi="仿宋" w:eastAsia="仿宋"/>
          <w:color w:val="000000" w:themeColor="text1"/>
          <w:sz w:val="30"/>
          <w:szCs w:val="30"/>
          <w:u w:val="single"/>
          <w:lang w:val="en-US" w:eastAsia="zh-CN"/>
          <w14:textFill>
            <w14:solidFill>
              <w14:schemeClr w14:val="tx1"/>
            </w14:solidFill>
          </w14:textFill>
        </w:rPr>
        <w:t>8</w:t>
      </w:r>
      <w:r>
        <w:rPr>
          <w:rFonts w:hint="eastAsia" w:ascii="仿宋" w:hAnsi="仿宋" w:eastAsia="仿宋"/>
          <w:color w:val="000000" w:themeColor="text1"/>
          <w:sz w:val="30"/>
          <w:szCs w:val="30"/>
          <w:u w:val="single"/>
          <w14:textFill>
            <w14:solidFill>
              <w14:schemeClr w14:val="tx1"/>
            </w14:solidFill>
          </w14:textFill>
        </w:rPr>
        <w:t>_</w:t>
      </w:r>
      <w:r>
        <w:rPr>
          <w:rFonts w:hint="eastAsia" w:ascii="仿宋" w:hAnsi="仿宋" w:eastAsia="仿宋"/>
          <w:color w:val="000000" w:themeColor="text1"/>
          <w:sz w:val="30"/>
          <w:szCs w:val="30"/>
          <w14:textFill>
            <w14:solidFill>
              <w14:schemeClr w14:val="tx1"/>
            </w14:solidFill>
          </w14:textFill>
        </w:rPr>
        <w:t>时</w:t>
      </w:r>
      <w:r>
        <w:rPr>
          <w:rFonts w:hint="eastAsia" w:ascii="仿宋" w:hAnsi="仿宋" w:eastAsia="仿宋"/>
          <w:color w:val="000000" w:themeColor="text1"/>
          <w:sz w:val="30"/>
          <w:szCs w:val="30"/>
          <w:u w:val="single"/>
          <w14:textFill>
            <w14:solidFill>
              <w14:schemeClr w14:val="tx1"/>
            </w14:solidFill>
          </w14:textFill>
        </w:rPr>
        <w:t>_</w:t>
      </w:r>
      <w:r>
        <w:rPr>
          <w:rFonts w:hint="eastAsia" w:ascii="仿宋" w:hAnsi="仿宋" w:eastAsia="仿宋"/>
          <w:color w:val="000000" w:themeColor="text1"/>
          <w:sz w:val="30"/>
          <w:szCs w:val="30"/>
          <w:u w:val="single"/>
          <w:lang w:val="en-US" w:eastAsia="zh-CN"/>
          <w14:textFill>
            <w14:solidFill>
              <w14:schemeClr w14:val="tx1"/>
            </w14:solidFill>
          </w14:textFill>
        </w:rPr>
        <w:t>30</w:t>
      </w:r>
      <w:r>
        <w:rPr>
          <w:rFonts w:hint="eastAsia" w:ascii="仿宋" w:hAnsi="仿宋" w:eastAsia="仿宋"/>
          <w:color w:val="000000" w:themeColor="text1"/>
          <w:sz w:val="30"/>
          <w:szCs w:val="30"/>
          <w:u w:val="single"/>
          <w14:textFill>
            <w14:solidFill>
              <w14:schemeClr w14:val="tx1"/>
            </w14:solidFill>
          </w14:textFill>
        </w:rPr>
        <w:t>_</w:t>
      </w:r>
      <w:r>
        <w:rPr>
          <w:rFonts w:hint="eastAsia" w:ascii="仿宋" w:hAnsi="仿宋" w:eastAsia="仿宋"/>
          <w:color w:val="000000" w:themeColor="text1"/>
          <w:sz w:val="30"/>
          <w:szCs w:val="30"/>
          <w14:textFill>
            <w14:solidFill>
              <w14:schemeClr w14:val="tx1"/>
            </w14:solidFill>
          </w14:textFill>
        </w:rPr>
        <w:t>分前送至南宁市卫生学校相思湖校区图书馆综合楼16楼1607会议室，所有文件需提供1份正本、2份副本，装入档案袋密封</w:t>
      </w:r>
      <w:r>
        <w:rPr>
          <w:rFonts w:ascii="仿宋" w:hAnsi="仿宋" w:eastAsia="仿宋"/>
          <w:color w:val="000000" w:themeColor="text1"/>
          <w:sz w:val="30"/>
          <w:szCs w:val="30"/>
          <w14:textFill>
            <w14:solidFill>
              <w14:schemeClr w14:val="tx1"/>
            </w14:solidFill>
          </w14:textFill>
        </w:rPr>
        <w:t>并在</w:t>
      </w:r>
      <w:r>
        <w:rPr>
          <w:rFonts w:hint="eastAsia" w:ascii="仿宋" w:hAnsi="仿宋" w:eastAsia="仿宋"/>
          <w:color w:val="000000" w:themeColor="text1"/>
          <w:sz w:val="30"/>
          <w:szCs w:val="30"/>
          <w14:textFill>
            <w14:solidFill>
              <w14:schemeClr w14:val="tx1"/>
            </w14:solidFill>
          </w14:textFill>
        </w:rPr>
        <w:t>骑缝</w:t>
      </w:r>
      <w:r>
        <w:rPr>
          <w:rFonts w:ascii="仿宋" w:hAnsi="仿宋" w:eastAsia="仿宋"/>
          <w:color w:val="000000" w:themeColor="text1"/>
          <w:sz w:val="30"/>
          <w:szCs w:val="30"/>
          <w14:textFill>
            <w14:solidFill>
              <w14:schemeClr w14:val="tx1"/>
            </w14:solidFill>
          </w14:textFill>
        </w:rPr>
        <w:t>处</w:t>
      </w:r>
      <w:r>
        <w:rPr>
          <w:rFonts w:hint="eastAsia" w:ascii="仿宋" w:hAnsi="仿宋" w:eastAsia="仿宋"/>
          <w:color w:val="000000" w:themeColor="text1"/>
          <w:sz w:val="30"/>
          <w:szCs w:val="30"/>
          <w14:textFill>
            <w14:solidFill>
              <w14:schemeClr w14:val="tx1"/>
            </w14:solidFill>
          </w14:textFill>
        </w:rPr>
        <w:t>加盖单位公章，档案袋上注明项目名称、报名单位、联系人、联系方式。</w:t>
      </w:r>
      <w:r>
        <w:rPr>
          <w:rFonts w:hint="eastAsia" w:ascii="仿宋" w:hAnsi="仿宋" w:eastAsia="仿宋"/>
          <w:color w:val="000000" w:themeColor="text1"/>
          <w:sz w:val="30"/>
          <w:szCs w:val="30"/>
          <w14:textFill>
            <w14:solidFill>
              <w14:schemeClr w14:val="tx1"/>
            </w14:solidFill>
          </w14:textFill>
        </w:rPr>
        <w:br w:type="textWrapping"/>
      </w:r>
      <w:r>
        <w:rPr>
          <w:rFonts w:hint="eastAsia" w:ascii="仿宋" w:hAnsi="仿宋" w:eastAsia="仿宋"/>
          <w:color w:val="000000" w:themeColor="text1"/>
          <w:sz w:val="30"/>
          <w:szCs w:val="30"/>
          <w14:textFill>
            <w14:solidFill>
              <w14:schemeClr w14:val="tx1"/>
            </w14:solidFill>
          </w14:textFill>
        </w:rPr>
        <w:t xml:space="preserve">    八、咨询电话：</w:t>
      </w:r>
      <w:r>
        <w:rPr>
          <w:rFonts w:hint="eastAsia" w:ascii="仿宋" w:hAnsi="仿宋" w:eastAsia="仿宋"/>
          <w:color w:val="333333"/>
          <w:sz w:val="30"/>
          <w:szCs w:val="30"/>
          <w:shd w:val="clear" w:color="auto" w:fill="FFFFFF"/>
        </w:rPr>
        <w:t xml:space="preserve">0771-3370621 </w:t>
      </w:r>
      <w:r>
        <w:rPr>
          <w:rFonts w:hint="eastAsia" w:ascii="仿宋" w:hAnsi="仿宋" w:eastAsia="仿宋"/>
          <w:color w:val="000000" w:themeColor="text1"/>
          <w:sz w:val="30"/>
          <w:szCs w:val="30"/>
          <w14:textFill>
            <w14:solidFill>
              <w14:schemeClr w14:val="tx1"/>
            </w14:solidFill>
          </w14:textFill>
        </w:rPr>
        <w:t>杨老师</w:t>
      </w:r>
    </w:p>
    <w:p w14:paraId="282991C4">
      <w:pPr>
        <w:spacing w:line="520" w:lineRule="exact"/>
        <w:ind w:left="5880" w:leftChars="2800"/>
        <w:rPr>
          <w:rFonts w:ascii="仿宋" w:hAnsi="仿宋" w:eastAsia="仿宋"/>
          <w:color w:val="000000" w:themeColor="text1"/>
          <w:sz w:val="32"/>
          <w:szCs w:val="32"/>
          <w14:textFill>
            <w14:solidFill>
              <w14:schemeClr w14:val="tx1"/>
            </w14:solidFill>
          </w14:textFill>
        </w:rPr>
      </w:pPr>
    </w:p>
    <w:p w14:paraId="46515946">
      <w:pPr>
        <w:pStyle w:val="2"/>
      </w:pPr>
    </w:p>
    <w:p w14:paraId="39DA9D95">
      <w:pPr>
        <w:pStyle w:val="2"/>
      </w:pPr>
    </w:p>
    <w:p w14:paraId="39A368C5">
      <w:pPr>
        <w:spacing w:line="520" w:lineRule="exact"/>
        <w:ind w:left="5880" w:leftChars="2800"/>
        <w:rPr>
          <w:rFonts w:ascii="仿宋" w:hAnsi="仿宋" w:eastAsia="仿宋"/>
          <w:color w:val="000000" w:themeColor="text1"/>
          <w:sz w:val="32"/>
          <w:szCs w:val="32"/>
          <w14:textFill>
            <w14:solidFill>
              <w14:schemeClr w14:val="tx1"/>
            </w14:solidFill>
          </w14:textFill>
        </w:rPr>
      </w:pPr>
      <w:r>
        <w:rPr>
          <w:rFonts w:hint="eastAsia" w:ascii="仿宋" w:hAnsi="仿宋" w:eastAsia="仿宋"/>
          <w:color w:val="000000" w:themeColor="text1"/>
          <w:sz w:val="32"/>
          <w:szCs w:val="32"/>
          <w14:textFill>
            <w14:solidFill>
              <w14:schemeClr w14:val="tx1"/>
            </w14:solidFill>
          </w14:textFill>
        </w:rPr>
        <w:t>南宁市卫生学校</w:t>
      </w:r>
      <w:r>
        <w:rPr>
          <w:rFonts w:hint="eastAsia" w:ascii="仿宋" w:hAnsi="仿宋" w:eastAsia="仿宋"/>
          <w:color w:val="000000" w:themeColor="text1"/>
          <w:sz w:val="32"/>
          <w:szCs w:val="32"/>
          <w14:textFill>
            <w14:solidFill>
              <w14:schemeClr w14:val="tx1"/>
            </w14:solidFill>
          </w14:textFill>
        </w:rPr>
        <w:br w:type="textWrapping"/>
      </w:r>
      <w:r>
        <w:rPr>
          <w:rFonts w:hint="eastAsia" w:ascii="仿宋" w:hAnsi="仿宋" w:eastAsia="仿宋"/>
          <w:color w:val="000000" w:themeColor="text1"/>
          <w:sz w:val="32"/>
          <w:szCs w:val="32"/>
          <w14:textFill>
            <w14:solidFill>
              <w14:schemeClr w14:val="tx1"/>
            </w14:solidFill>
          </w14:textFill>
        </w:rPr>
        <w:t>2025年</w:t>
      </w:r>
      <w:r>
        <w:rPr>
          <w:rFonts w:hint="eastAsia" w:ascii="仿宋" w:hAnsi="仿宋" w:eastAsia="仿宋"/>
          <w:color w:val="000000" w:themeColor="text1"/>
          <w:sz w:val="32"/>
          <w:szCs w:val="32"/>
          <w:u w:val="single"/>
          <w:lang w:val="en-US" w:eastAsia="zh-CN"/>
          <w14:textFill>
            <w14:solidFill>
              <w14:schemeClr w14:val="tx1"/>
            </w14:solidFill>
          </w14:textFill>
        </w:rPr>
        <w:t>6</w:t>
      </w:r>
      <w:r>
        <w:rPr>
          <w:rFonts w:hint="eastAsia" w:ascii="仿宋" w:hAnsi="仿宋" w:eastAsia="仿宋"/>
          <w:color w:val="000000" w:themeColor="text1"/>
          <w:sz w:val="32"/>
          <w:szCs w:val="32"/>
          <w14:textFill>
            <w14:solidFill>
              <w14:schemeClr w14:val="tx1"/>
            </w14:solidFill>
          </w14:textFill>
        </w:rPr>
        <w:t>月</w:t>
      </w:r>
      <w:r>
        <w:rPr>
          <w:rFonts w:hint="eastAsia" w:ascii="仿宋" w:hAnsi="仿宋" w:eastAsia="仿宋"/>
          <w:color w:val="000000" w:themeColor="text1"/>
          <w:sz w:val="32"/>
          <w:szCs w:val="32"/>
          <w:u w:val="single"/>
          <w:lang w:val="en-US" w:eastAsia="zh-CN"/>
          <w14:textFill>
            <w14:solidFill>
              <w14:schemeClr w14:val="tx1"/>
            </w14:solidFill>
          </w14:textFill>
        </w:rPr>
        <w:t>12</w:t>
      </w:r>
      <w:r>
        <w:rPr>
          <w:rFonts w:hint="eastAsia" w:ascii="仿宋" w:hAnsi="仿宋" w:eastAsia="仿宋"/>
          <w:color w:val="000000" w:themeColor="text1"/>
          <w:sz w:val="32"/>
          <w:szCs w:val="32"/>
          <w14:textFill>
            <w14:solidFill>
              <w14:schemeClr w14:val="tx1"/>
            </w14:solidFill>
          </w14:textFill>
        </w:rPr>
        <w:t>日</w:t>
      </w:r>
    </w:p>
    <w:bookmarkEnd w:id="2"/>
    <w:p w14:paraId="0C9E0A0E">
      <w:pPr>
        <w:pStyle w:val="11"/>
        <w:shd w:val="clear" w:color="auto" w:fill="FFFFFF"/>
        <w:spacing w:before="0" w:beforeAutospacing="0" w:after="0" w:afterAutospacing="0" w:line="760" w:lineRule="exact"/>
        <w:rPr>
          <w:rFonts w:ascii="仿宋" w:hAnsi="仿宋" w:eastAsia="仿宋" w:cs="仿宋"/>
          <w:bCs/>
          <w:sz w:val="30"/>
          <w:szCs w:val="30"/>
        </w:rPr>
      </w:pPr>
      <w:r>
        <w:rPr>
          <w:rFonts w:hint="eastAsia" w:ascii="仿宋" w:hAnsi="仿宋" w:eastAsia="仿宋" w:cs="仿宋"/>
          <w:bCs/>
          <w:sz w:val="30"/>
          <w:szCs w:val="30"/>
        </w:rPr>
        <w:t>附件1：</w:t>
      </w:r>
    </w:p>
    <w:p w14:paraId="698E00C9">
      <w:pPr>
        <w:spacing w:line="560" w:lineRule="exact"/>
        <w:ind w:right="-197" w:rightChars="-94"/>
        <w:jc w:val="center"/>
        <w:rPr>
          <w:rFonts w:cs="仿宋" w:asciiTheme="majorEastAsia" w:hAnsiTheme="majorEastAsia" w:eastAsiaTheme="majorEastAsia"/>
          <w:b/>
          <w:bCs/>
          <w:color w:val="000000" w:themeColor="text1"/>
          <w:sz w:val="44"/>
          <w:szCs w:val="44"/>
          <w14:textFill>
            <w14:solidFill>
              <w14:schemeClr w14:val="tx1"/>
            </w14:solidFill>
          </w14:textFill>
        </w:rPr>
      </w:pPr>
      <w:r>
        <w:rPr>
          <w:rFonts w:hint="eastAsia" w:cs="仿宋" w:asciiTheme="majorEastAsia" w:hAnsiTheme="majorEastAsia" w:eastAsiaTheme="majorEastAsia"/>
          <w:b/>
          <w:bCs/>
          <w:color w:val="000000" w:themeColor="text1"/>
          <w:sz w:val="44"/>
          <w:szCs w:val="44"/>
          <w14:textFill>
            <w14:solidFill>
              <w14:schemeClr w14:val="tx1"/>
            </w14:solidFill>
          </w14:textFill>
        </w:rPr>
        <w:t>南宁市卫生学校消防、安保设备设施购置</w:t>
      </w:r>
    </w:p>
    <w:p w14:paraId="4A3CA265">
      <w:pPr>
        <w:spacing w:line="560" w:lineRule="exact"/>
        <w:ind w:right="-197" w:rightChars="-94"/>
        <w:jc w:val="center"/>
        <w:rPr>
          <w:rFonts w:cs="仿宋" w:asciiTheme="majorEastAsia" w:hAnsiTheme="majorEastAsia" w:eastAsiaTheme="majorEastAsia"/>
          <w:b/>
          <w:bCs/>
          <w:color w:val="000000" w:themeColor="text1"/>
          <w:sz w:val="44"/>
          <w:szCs w:val="44"/>
          <w14:textFill>
            <w14:solidFill>
              <w14:schemeClr w14:val="tx1"/>
            </w14:solidFill>
          </w14:textFill>
        </w:rPr>
      </w:pPr>
      <w:r>
        <w:rPr>
          <w:rFonts w:hint="eastAsia" w:cs="仿宋" w:asciiTheme="majorEastAsia" w:hAnsiTheme="majorEastAsia" w:eastAsiaTheme="majorEastAsia"/>
          <w:b/>
          <w:bCs/>
          <w:color w:val="000000" w:themeColor="text1"/>
          <w:sz w:val="44"/>
          <w:szCs w:val="44"/>
          <w14:textFill>
            <w14:solidFill>
              <w14:schemeClr w14:val="tx1"/>
            </w14:solidFill>
          </w14:textFill>
        </w:rPr>
        <w:t>项目询价文件</w:t>
      </w:r>
    </w:p>
    <w:p w14:paraId="20AC7456">
      <w:pPr>
        <w:pStyle w:val="11"/>
        <w:shd w:val="clear" w:color="auto" w:fill="FFFFFF"/>
        <w:spacing w:before="0" w:beforeAutospacing="0" w:after="0" w:afterAutospacing="0"/>
        <w:ind w:firstLine="420"/>
        <w:jc w:val="center"/>
        <w:rPr>
          <w:rFonts w:cs="仿宋" w:asciiTheme="majorEastAsia" w:hAnsiTheme="majorEastAsia" w:eastAsiaTheme="majorEastAsia"/>
          <w:b/>
          <w:bCs/>
          <w:color w:val="000000" w:themeColor="text1"/>
          <w:kern w:val="2"/>
          <w:sz w:val="44"/>
          <w:szCs w:val="44"/>
          <w14:textFill>
            <w14:solidFill>
              <w14:schemeClr w14:val="tx1"/>
            </w14:solidFill>
          </w14:textFill>
        </w:rPr>
      </w:pPr>
    </w:p>
    <w:p w14:paraId="2A766620">
      <w:pPr>
        <w:numPr>
          <w:ilvl w:val="0"/>
          <w:numId w:val="1"/>
        </w:numPr>
        <w:spacing w:line="560" w:lineRule="exact"/>
        <w:jc w:val="left"/>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采购项目名称：南宁市卫生学校消防、安保设备设施购置项目</w:t>
      </w:r>
    </w:p>
    <w:p w14:paraId="04C78E3F">
      <w:pPr>
        <w:spacing w:line="560" w:lineRule="exact"/>
        <w:jc w:val="left"/>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 xml:space="preserve">二、采购预算：60000.00元 </w:t>
      </w:r>
    </w:p>
    <w:p w14:paraId="785F3763">
      <w:pPr>
        <w:spacing w:line="560" w:lineRule="exact"/>
        <w:jc w:val="left"/>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三、采购要求：</w:t>
      </w:r>
    </w:p>
    <w:tbl>
      <w:tblPr>
        <w:tblStyle w:val="13"/>
        <w:tblW w:w="8815" w:type="dxa"/>
        <w:tblInd w:w="0" w:type="dxa"/>
        <w:tblLayout w:type="fixed"/>
        <w:tblCellMar>
          <w:top w:w="0" w:type="dxa"/>
          <w:left w:w="108" w:type="dxa"/>
          <w:bottom w:w="0" w:type="dxa"/>
          <w:right w:w="108" w:type="dxa"/>
        </w:tblCellMar>
      </w:tblPr>
      <w:tblGrid>
        <w:gridCol w:w="365"/>
        <w:gridCol w:w="67"/>
        <w:gridCol w:w="300"/>
        <w:gridCol w:w="259"/>
        <w:gridCol w:w="458"/>
        <w:gridCol w:w="2083"/>
        <w:gridCol w:w="433"/>
        <w:gridCol w:w="667"/>
        <w:gridCol w:w="783"/>
        <w:gridCol w:w="800"/>
        <w:gridCol w:w="850"/>
        <w:gridCol w:w="900"/>
        <w:gridCol w:w="850"/>
      </w:tblGrid>
      <w:tr w14:paraId="4C54CF3E">
        <w:tblPrEx>
          <w:tblCellMar>
            <w:top w:w="0" w:type="dxa"/>
            <w:left w:w="108" w:type="dxa"/>
            <w:bottom w:w="0" w:type="dxa"/>
            <w:right w:w="108" w:type="dxa"/>
          </w:tblCellMar>
        </w:tblPrEx>
        <w:trPr>
          <w:trHeight w:val="289" w:hRule="atLeast"/>
        </w:trPr>
        <w:tc>
          <w:tcPr>
            <w:tcW w:w="365" w:type="dxa"/>
            <w:vMerge w:val="restart"/>
            <w:tcBorders>
              <w:top w:val="single" w:color="auto" w:sz="4" w:space="0"/>
              <w:left w:val="single" w:color="auto" w:sz="4" w:space="0"/>
              <w:right w:val="single" w:color="auto" w:sz="4" w:space="0"/>
            </w:tcBorders>
            <w:noWrap/>
            <w:vAlign w:val="center"/>
          </w:tcPr>
          <w:p w14:paraId="1A566C91">
            <w:pPr>
              <w:widowControl/>
              <w:textAlignment w:val="center"/>
              <w:rPr>
                <w:rFonts w:ascii="宋体" w:hAnsi="宋体" w:cs="宋体"/>
                <w:color w:val="FF0000"/>
                <w:szCs w:val="21"/>
              </w:rPr>
            </w:pPr>
            <w:r>
              <w:rPr>
                <w:rFonts w:hint="eastAsia" w:ascii="宋体" w:hAnsi="宋体" w:cs="宋体"/>
                <w:b/>
                <w:bCs/>
                <w:color w:val="FF0000"/>
                <w:szCs w:val="21"/>
              </w:rPr>
              <w:t>项目明</w:t>
            </w:r>
            <w:r>
              <w:rPr>
                <w:rFonts w:hint="eastAsia" w:ascii="宋体" w:hAnsi="宋体" w:cs="宋体"/>
                <w:color w:val="FF0000"/>
                <w:szCs w:val="21"/>
              </w:rPr>
              <w:t>细</w:t>
            </w:r>
          </w:p>
        </w:tc>
        <w:tc>
          <w:tcPr>
            <w:tcW w:w="367" w:type="dxa"/>
            <w:gridSpan w:val="2"/>
            <w:tcBorders>
              <w:top w:val="single" w:color="auto" w:sz="4" w:space="0"/>
              <w:left w:val="single" w:color="auto" w:sz="4" w:space="0"/>
              <w:bottom w:val="single" w:color="auto" w:sz="4" w:space="0"/>
              <w:right w:val="single" w:color="auto" w:sz="4" w:space="0"/>
            </w:tcBorders>
            <w:noWrap/>
            <w:vAlign w:val="center"/>
          </w:tcPr>
          <w:p w14:paraId="3ED038FF">
            <w:pPr>
              <w:widowControl/>
              <w:textAlignment w:val="center"/>
              <w:rPr>
                <w:rFonts w:ascii="宋体" w:hAnsi="宋体" w:cs="宋体"/>
                <w:b/>
                <w:bCs/>
                <w:szCs w:val="21"/>
              </w:rPr>
            </w:pPr>
            <w:r>
              <w:rPr>
                <w:rFonts w:hint="eastAsia" w:ascii="宋体" w:hAnsi="宋体" w:cs="宋体"/>
                <w:b/>
                <w:bCs/>
                <w:szCs w:val="21"/>
              </w:rPr>
              <w:t>序号</w:t>
            </w:r>
          </w:p>
        </w:tc>
        <w:tc>
          <w:tcPr>
            <w:tcW w:w="717" w:type="dxa"/>
            <w:gridSpan w:val="2"/>
            <w:tcBorders>
              <w:top w:val="single" w:color="auto" w:sz="4" w:space="0"/>
              <w:left w:val="single" w:color="auto" w:sz="4" w:space="0"/>
              <w:bottom w:val="single" w:color="auto" w:sz="4" w:space="0"/>
              <w:right w:val="single" w:color="auto" w:sz="4" w:space="0"/>
            </w:tcBorders>
            <w:noWrap/>
            <w:vAlign w:val="center"/>
          </w:tcPr>
          <w:p w14:paraId="7BCB89B0">
            <w:pPr>
              <w:widowControl/>
              <w:textAlignment w:val="center"/>
              <w:rPr>
                <w:rFonts w:ascii="宋体" w:hAnsi="宋体" w:cs="宋体"/>
                <w:b/>
                <w:bCs/>
                <w:szCs w:val="21"/>
              </w:rPr>
            </w:pPr>
            <w:r>
              <w:rPr>
                <w:rFonts w:hint="eastAsia" w:ascii="宋体" w:hAnsi="宋体" w:cs="宋体"/>
                <w:b/>
                <w:bCs/>
                <w:szCs w:val="21"/>
              </w:rPr>
              <w:t>名称</w:t>
            </w:r>
          </w:p>
        </w:tc>
        <w:tc>
          <w:tcPr>
            <w:tcW w:w="2083" w:type="dxa"/>
            <w:tcBorders>
              <w:top w:val="single" w:color="auto" w:sz="4" w:space="0"/>
              <w:left w:val="single" w:color="auto" w:sz="4" w:space="0"/>
              <w:bottom w:val="single" w:color="auto" w:sz="4" w:space="0"/>
              <w:right w:val="single" w:color="auto" w:sz="4" w:space="0"/>
            </w:tcBorders>
            <w:noWrap/>
            <w:vAlign w:val="center"/>
          </w:tcPr>
          <w:p w14:paraId="076C73F6">
            <w:pPr>
              <w:widowControl/>
              <w:ind w:firstLine="632" w:firstLineChars="300"/>
              <w:textAlignment w:val="center"/>
              <w:rPr>
                <w:rFonts w:ascii="宋体" w:hAnsi="宋体" w:cs="宋体"/>
                <w:b/>
                <w:bCs/>
                <w:szCs w:val="21"/>
              </w:rPr>
            </w:pPr>
            <w:r>
              <w:rPr>
                <w:rFonts w:hint="eastAsia" w:ascii="宋体" w:hAnsi="宋体" w:cs="宋体"/>
                <w:b/>
                <w:bCs/>
                <w:szCs w:val="21"/>
              </w:rPr>
              <w:t>规格型号</w:t>
            </w:r>
          </w:p>
        </w:tc>
        <w:tc>
          <w:tcPr>
            <w:tcW w:w="433" w:type="dxa"/>
            <w:tcBorders>
              <w:top w:val="single" w:color="auto" w:sz="4" w:space="0"/>
              <w:left w:val="single" w:color="auto" w:sz="4" w:space="0"/>
              <w:bottom w:val="single" w:color="auto" w:sz="4" w:space="0"/>
              <w:right w:val="single" w:color="auto" w:sz="4" w:space="0"/>
            </w:tcBorders>
            <w:noWrap/>
            <w:vAlign w:val="center"/>
          </w:tcPr>
          <w:p w14:paraId="41E2CFBD">
            <w:pPr>
              <w:widowControl/>
              <w:textAlignment w:val="center"/>
              <w:rPr>
                <w:rFonts w:ascii="宋体" w:hAnsi="宋体" w:cs="宋体"/>
                <w:b/>
                <w:bCs/>
                <w:szCs w:val="21"/>
              </w:rPr>
            </w:pPr>
            <w:r>
              <w:rPr>
                <w:rFonts w:hint="eastAsia" w:ascii="宋体" w:hAnsi="宋体" w:cs="宋体"/>
                <w:b/>
                <w:bCs/>
                <w:szCs w:val="21"/>
              </w:rPr>
              <w:t>单位</w:t>
            </w:r>
          </w:p>
        </w:tc>
        <w:tc>
          <w:tcPr>
            <w:tcW w:w="667" w:type="dxa"/>
            <w:tcBorders>
              <w:top w:val="single" w:color="auto" w:sz="4" w:space="0"/>
              <w:left w:val="single" w:color="auto" w:sz="4" w:space="0"/>
              <w:bottom w:val="single" w:color="auto" w:sz="4" w:space="0"/>
              <w:right w:val="single" w:color="auto" w:sz="4" w:space="0"/>
            </w:tcBorders>
            <w:noWrap/>
            <w:vAlign w:val="center"/>
          </w:tcPr>
          <w:p w14:paraId="5356A218">
            <w:pPr>
              <w:widowControl/>
              <w:textAlignment w:val="center"/>
              <w:rPr>
                <w:rFonts w:ascii="宋体" w:hAnsi="宋体" w:cs="宋体"/>
                <w:b/>
                <w:bCs/>
                <w:szCs w:val="21"/>
              </w:rPr>
            </w:pPr>
            <w:r>
              <w:rPr>
                <w:rFonts w:hint="eastAsia" w:ascii="宋体" w:hAnsi="宋体" w:cs="宋体"/>
                <w:b/>
                <w:bCs/>
                <w:szCs w:val="21"/>
              </w:rPr>
              <w:t>数量</w:t>
            </w:r>
          </w:p>
        </w:tc>
        <w:tc>
          <w:tcPr>
            <w:tcW w:w="783" w:type="dxa"/>
            <w:tcBorders>
              <w:top w:val="single" w:color="auto" w:sz="4" w:space="0"/>
              <w:left w:val="single" w:color="auto" w:sz="4" w:space="0"/>
              <w:bottom w:val="single" w:color="auto" w:sz="4" w:space="0"/>
              <w:right w:val="single" w:color="auto" w:sz="4" w:space="0"/>
            </w:tcBorders>
            <w:noWrap/>
            <w:vAlign w:val="center"/>
          </w:tcPr>
          <w:p w14:paraId="1A29741D">
            <w:pPr>
              <w:widowControl/>
              <w:textAlignment w:val="center"/>
              <w:rPr>
                <w:rFonts w:ascii="宋体" w:hAnsi="宋体" w:cs="宋体"/>
                <w:b/>
                <w:bCs/>
                <w:szCs w:val="21"/>
              </w:rPr>
            </w:pPr>
            <w:r>
              <w:rPr>
                <w:rFonts w:hint="eastAsia" w:ascii="宋体" w:hAnsi="宋体" w:cs="宋体"/>
                <w:b/>
                <w:bCs/>
                <w:szCs w:val="21"/>
              </w:rPr>
              <w:t>单价（元）</w:t>
            </w:r>
          </w:p>
        </w:tc>
        <w:tc>
          <w:tcPr>
            <w:tcW w:w="800" w:type="dxa"/>
            <w:tcBorders>
              <w:top w:val="single" w:color="auto" w:sz="4" w:space="0"/>
              <w:left w:val="single" w:color="auto" w:sz="4" w:space="0"/>
              <w:bottom w:val="single" w:color="auto" w:sz="4" w:space="0"/>
              <w:right w:val="single" w:color="auto" w:sz="4" w:space="0"/>
            </w:tcBorders>
            <w:noWrap/>
            <w:vAlign w:val="center"/>
          </w:tcPr>
          <w:p w14:paraId="6BB672B4">
            <w:pPr>
              <w:widowControl/>
              <w:textAlignment w:val="center"/>
              <w:rPr>
                <w:rFonts w:ascii="宋体" w:hAnsi="宋体" w:cs="宋体"/>
                <w:b/>
                <w:bCs/>
                <w:szCs w:val="21"/>
              </w:rPr>
            </w:pPr>
            <w:r>
              <w:rPr>
                <w:rFonts w:hint="eastAsia" w:ascii="宋体" w:hAnsi="宋体" w:cs="宋体"/>
                <w:b/>
                <w:bCs/>
                <w:szCs w:val="21"/>
              </w:rPr>
              <w:t>总计（元）</w:t>
            </w:r>
          </w:p>
        </w:tc>
        <w:tc>
          <w:tcPr>
            <w:tcW w:w="850" w:type="dxa"/>
            <w:tcBorders>
              <w:top w:val="single" w:color="auto" w:sz="4" w:space="0"/>
              <w:left w:val="single" w:color="auto" w:sz="4" w:space="0"/>
              <w:bottom w:val="single" w:color="auto" w:sz="4" w:space="0"/>
              <w:right w:val="single" w:color="auto" w:sz="4" w:space="0"/>
            </w:tcBorders>
            <w:noWrap/>
            <w:vAlign w:val="center"/>
          </w:tcPr>
          <w:p w14:paraId="227BA005">
            <w:pPr>
              <w:jc w:val="left"/>
              <w:rPr>
                <w:rFonts w:ascii="宋体" w:hAnsi="宋体" w:cs="宋体"/>
                <w:b/>
                <w:bCs/>
                <w:szCs w:val="21"/>
              </w:rPr>
            </w:pPr>
            <w:r>
              <w:rPr>
                <w:rFonts w:hint="eastAsia" w:ascii="宋体" w:hAnsi="宋体" w:cs="宋体"/>
                <w:b/>
                <w:bCs/>
                <w:szCs w:val="21"/>
              </w:rPr>
              <w:t>合计（元）</w:t>
            </w:r>
          </w:p>
        </w:tc>
        <w:tc>
          <w:tcPr>
            <w:tcW w:w="900" w:type="dxa"/>
            <w:tcBorders>
              <w:top w:val="single" w:color="auto" w:sz="4" w:space="0"/>
              <w:left w:val="single" w:color="auto" w:sz="4" w:space="0"/>
              <w:bottom w:val="single" w:color="auto" w:sz="4" w:space="0"/>
              <w:right w:val="single" w:color="auto" w:sz="4" w:space="0"/>
            </w:tcBorders>
            <w:noWrap/>
            <w:vAlign w:val="center"/>
          </w:tcPr>
          <w:p w14:paraId="7E7E4218">
            <w:pPr>
              <w:widowControl/>
              <w:textAlignment w:val="center"/>
              <w:rPr>
                <w:rFonts w:ascii="宋体" w:hAnsi="宋体" w:cs="宋体"/>
                <w:b/>
                <w:bCs/>
                <w:szCs w:val="21"/>
              </w:rPr>
            </w:pPr>
            <w:r>
              <w:rPr>
                <w:rFonts w:hint="eastAsia" w:ascii="宋体" w:hAnsi="宋体" w:cs="宋体"/>
                <w:b/>
                <w:bCs/>
                <w:szCs w:val="21"/>
              </w:rPr>
              <w:t>控制价（元）</w:t>
            </w:r>
          </w:p>
        </w:tc>
        <w:tc>
          <w:tcPr>
            <w:tcW w:w="850" w:type="dxa"/>
            <w:tcBorders>
              <w:top w:val="single" w:color="auto" w:sz="4" w:space="0"/>
              <w:left w:val="single" w:color="auto" w:sz="4" w:space="0"/>
              <w:bottom w:val="single" w:color="auto" w:sz="4" w:space="0"/>
              <w:right w:val="single" w:color="auto" w:sz="4" w:space="0"/>
            </w:tcBorders>
            <w:noWrap/>
            <w:vAlign w:val="center"/>
          </w:tcPr>
          <w:p w14:paraId="641710F1">
            <w:pPr>
              <w:widowControl/>
              <w:textAlignment w:val="center"/>
              <w:rPr>
                <w:rFonts w:ascii="宋体" w:hAnsi="宋体" w:cs="宋体"/>
                <w:b/>
                <w:bCs/>
                <w:szCs w:val="21"/>
              </w:rPr>
            </w:pPr>
            <w:r>
              <w:rPr>
                <w:rFonts w:hint="eastAsia" w:ascii="宋体" w:hAnsi="宋体" w:cs="宋体"/>
                <w:b/>
                <w:bCs/>
                <w:szCs w:val="21"/>
              </w:rPr>
              <w:t>总价（元）</w:t>
            </w:r>
          </w:p>
        </w:tc>
      </w:tr>
      <w:tr w14:paraId="46686A3D">
        <w:tblPrEx>
          <w:tblCellMar>
            <w:top w:w="0" w:type="dxa"/>
            <w:left w:w="108" w:type="dxa"/>
            <w:bottom w:w="0" w:type="dxa"/>
            <w:right w:w="108" w:type="dxa"/>
          </w:tblCellMar>
        </w:tblPrEx>
        <w:trPr>
          <w:trHeight w:val="810" w:hRule="atLeast"/>
        </w:trPr>
        <w:tc>
          <w:tcPr>
            <w:tcW w:w="365" w:type="dxa"/>
            <w:vMerge w:val="continue"/>
            <w:tcBorders>
              <w:left w:val="single" w:color="auto" w:sz="4" w:space="0"/>
              <w:right w:val="single" w:color="auto" w:sz="4" w:space="0"/>
            </w:tcBorders>
            <w:noWrap/>
            <w:vAlign w:val="center"/>
          </w:tcPr>
          <w:p w14:paraId="4235154F">
            <w:pPr>
              <w:widowControl/>
              <w:textAlignment w:val="center"/>
              <w:rPr>
                <w:rFonts w:ascii="宋体" w:hAnsi="宋体" w:cs="宋体"/>
                <w:color w:val="FF0000"/>
                <w:szCs w:val="21"/>
              </w:rPr>
            </w:pPr>
          </w:p>
        </w:tc>
        <w:tc>
          <w:tcPr>
            <w:tcW w:w="367" w:type="dxa"/>
            <w:gridSpan w:val="2"/>
            <w:vMerge w:val="restart"/>
            <w:tcBorders>
              <w:top w:val="single" w:color="auto" w:sz="4" w:space="0"/>
              <w:left w:val="single" w:color="auto" w:sz="4" w:space="0"/>
              <w:right w:val="single" w:color="auto" w:sz="4" w:space="0"/>
            </w:tcBorders>
            <w:noWrap/>
            <w:vAlign w:val="center"/>
          </w:tcPr>
          <w:p w14:paraId="0CB56AC2">
            <w:pPr>
              <w:widowControl/>
              <w:textAlignment w:val="center"/>
              <w:rPr>
                <w:rFonts w:ascii="宋体" w:hAnsi="宋体" w:cs="宋体"/>
                <w:b/>
                <w:bCs/>
                <w:szCs w:val="21"/>
              </w:rPr>
            </w:pPr>
            <w:r>
              <w:rPr>
                <w:rFonts w:hint="eastAsia" w:ascii="宋体" w:hAnsi="宋体" w:cs="宋体"/>
                <w:b/>
                <w:bCs/>
                <w:szCs w:val="21"/>
              </w:rPr>
              <w:t>1</w:t>
            </w:r>
          </w:p>
        </w:tc>
        <w:tc>
          <w:tcPr>
            <w:tcW w:w="717" w:type="dxa"/>
            <w:gridSpan w:val="2"/>
            <w:vMerge w:val="restart"/>
            <w:tcBorders>
              <w:top w:val="single" w:color="auto" w:sz="4" w:space="0"/>
              <w:left w:val="single" w:color="auto" w:sz="4" w:space="0"/>
              <w:bottom w:val="single" w:color="auto" w:sz="4" w:space="0"/>
              <w:right w:val="single" w:color="auto" w:sz="4" w:space="0"/>
            </w:tcBorders>
            <w:noWrap/>
            <w:vAlign w:val="center"/>
          </w:tcPr>
          <w:p w14:paraId="35E6F03C">
            <w:pPr>
              <w:jc w:val="left"/>
              <w:rPr>
                <w:rFonts w:ascii="宋体" w:hAnsi="宋体" w:cs="宋体"/>
                <w:szCs w:val="21"/>
              </w:rPr>
            </w:pPr>
            <w:r>
              <w:rPr>
                <w:rFonts w:hint="eastAsia" w:ascii="宋体" w:hAnsi="宋体" w:cs="宋体"/>
                <w:szCs w:val="21"/>
              </w:rPr>
              <w:t>消防水带（配接扣）</w:t>
            </w:r>
          </w:p>
          <w:p w14:paraId="6331B47E">
            <w:pPr>
              <w:jc w:val="left"/>
              <w:rPr>
                <w:rFonts w:ascii="宋体" w:hAnsi="宋体" w:cs="宋体"/>
                <w:szCs w:val="21"/>
              </w:rPr>
            </w:pPr>
          </w:p>
        </w:tc>
        <w:tc>
          <w:tcPr>
            <w:tcW w:w="2083" w:type="dxa"/>
            <w:tcBorders>
              <w:top w:val="single" w:color="auto" w:sz="4" w:space="0"/>
              <w:left w:val="single" w:color="auto" w:sz="4" w:space="0"/>
              <w:bottom w:val="single" w:color="auto" w:sz="4" w:space="0"/>
              <w:right w:val="single" w:color="auto" w:sz="4" w:space="0"/>
            </w:tcBorders>
            <w:noWrap/>
            <w:vAlign w:val="center"/>
          </w:tcPr>
          <w:p w14:paraId="3482271B">
            <w:pPr>
              <w:rPr>
                <w:rFonts w:ascii="宋体" w:hAnsi="宋体" w:cs="宋体"/>
                <w:szCs w:val="21"/>
              </w:rPr>
            </w:pPr>
            <w:r>
              <w:rPr>
                <w:rFonts w:cs="宋体"/>
                <w:sz w:val="24"/>
              </w:rPr>
              <w:t>10-65-20</w:t>
            </w:r>
            <w:r>
              <w:rPr>
                <w:rFonts w:hint="eastAsia" w:ascii="宋体" w:hAnsi="宋体" w:cs="宋体"/>
                <w:szCs w:val="21"/>
              </w:rPr>
              <w:t>涤纶长丝/涤纶长丝-聚氨酯（黎塘校区）</w:t>
            </w:r>
          </w:p>
        </w:tc>
        <w:tc>
          <w:tcPr>
            <w:tcW w:w="433" w:type="dxa"/>
            <w:tcBorders>
              <w:top w:val="single" w:color="auto" w:sz="4" w:space="0"/>
              <w:left w:val="single" w:color="auto" w:sz="4" w:space="0"/>
              <w:bottom w:val="single" w:color="auto" w:sz="4" w:space="0"/>
              <w:right w:val="single" w:color="auto" w:sz="4" w:space="0"/>
            </w:tcBorders>
            <w:noWrap/>
            <w:vAlign w:val="center"/>
          </w:tcPr>
          <w:p w14:paraId="6E55FCD4">
            <w:pPr>
              <w:rPr>
                <w:rFonts w:ascii="宋体" w:hAnsi="宋体" w:cs="宋体"/>
                <w:szCs w:val="21"/>
              </w:rPr>
            </w:pPr>
            <w:r>
              <w:rPr>
                <w:rFonts w:hint="eastAsia" w:ascii="宋体" w:hAnsi="宋体" w:cs="宋体"/>
                <w:szCs w:val="21"/>
              </w:rPr>
              <w:t>条</w:t>
            </w:r>
          </w:p>
        </w:tc>
        <w:tc>
          <w:tcPr>
            <w:tcW w:w="667" w:type="dxa"/>
            <w:tcBorders>
              <w:top w:val="single" w:color="auto" w:sz="4" w:space="0"/>
              <w:left w:val="single" w:color="auto" w:sz="4" w:space="0"/>
              <w:bottom w:val="single" w:color="auto" w:sz="4" w:space="0"/>
              <w:right w:val="single" w:color="auto" w:sz="4" w:space="0"/>
            </w:tcBorders>
            <w:noWrap/>
            <w:vAlign w:val="center"/>
          </w:tcPr>
          <w:p w14:paraId="40CBCFB0">
            <w:pPr>
              <w:rPr>
                <w:rFonts w:ascii="宋体" w:hAnsi="宋体" w:cs="宋体"/>
                <w:szCs w:val="21"/>
              </w:rPr>
            </w:pPr>
            <w:r>
              <w:rPr>
                <w:rFonts w:hint="eastAsia" w:ascii="宋体" w:hAnsi="宋体" w:cs="宋体"/>
                <w:szCs w:val="21"/>
              </w:rPr>
              <w:t>56</w:t>
            </w:r>
          </w:p>
        </w:tc>
        <w:tc>
          <w:tcPr>
            <w:tcW w:w="783" w:type="dxa"/>
            <w:tcBorders>
              <w:top w:val="single" w:color="auto" w:sz="4" w:space="0"/>
              <w:left w:val="single" w:color="auto" w:sz="4" w:space="0"/>
              <w:bottom w:val="single" w:color="auto" w:sz="4" w:space="0"/>
              <w:right w:val="single" w:color="auto" w:sz="4" w:space="0"/>
            </w:tcBorders>
            <w:noWrap/>
            <w:vAlign w:val="center"/>
          </w:tcPr>
          <w:p w14:paraId="76F0D15F">
            <w:pPr>
              <w:ind w:firstLine="210" w:firstLineChars="100"/>
              <w:rPr>
                <w:rFonts w:ascii="宋体" w:hAnsi="宋体" w:cs="宋体"/>
                <w:szCs w:val="21"/>
              </w:rPr>
            </w:pPr>
            <w:r>
              <w:rPr>
                <w:rFonts w:hint="eastAsia" w:ascii="宋体" w:hAnsi="宋体" w:cs="宋体"/>
                <w:szCs w:val="21"/>
              </w:rPr>
              <w:t>100</w:t>
            </w:r>
          </w:p>
        </w:tc>
        <w:tc>
          <w:tcPr>
            <w:tcW w:w="800" w:type="dxa"/>
            <w:tcBorders>
              <w:top w:val="single" w:color="auto" w:sz="4" w:space="0"/>
              <w:left w:val="single" w:color="auto" w:sz="4" w:space="0"/>
              <w:bottom w:val="single" w:color="auto" w:sz="4" w:space="0"/>
              <w:right w:val="single" w:color="auto" w:sz="4" w:space="0"/>
            </w:tcBorders>
            <w:noWrap/>
            <w:vAlign w:val="center"/>
          </w:tcPr>
          <w:p w14:paraId="34879548">
            <w:pPr>
              <w:rPr>
                <w:rFonts w:ascii="宋体" w:hAnsi="宋体" w:cs="宋体"/>
                <w:szCs w:val="21"/>
              </w:rPr>
            </w:pPr>
            <w:r>
              <w:rPr>
                <w:rFonts w:hint="eastAsia" w:ascii="宋体" w:hAnsi="宋体" w:cs="宋体"/>
                <w:szCs w:val="21"/>
              </w:rPr>
              <w:t>5600</w:t>
            </w:r>
          </w:p>
        </w:tc>
        <w:tc>
          <w:tcPr>
            <w:tcW w:w="850" w:type="dxa"/>
            <w:vMerge w:val="restart"/>
            <w:tcBorders>
              <w:top w:val="single" w:color="auto" w:sz="4" w:space="0"/>
              <w:left w:val="single" w:color="auto" w:sz="4" w:space="0"/>
              <w:right w:val="single" w:color="auto" w:sz="4" w:space="0"/>
            </w:tcBorders>
            <w:noWrap/>
            <w:vAlign w:val="center"/>
          </w:tcPr>
          <w:p w14:paraId="249BFA04">
            <w:pPr>
              <w:rPr>
                <w:rFonts w:ascii="宋体" w:hAnsi="宋体" w:cs="宋体"/>
                <w:szCs w:val="21"/>
              </w:rPr>
            </w:pPr>
          </w:p>
          <w:p w14:paraId="65EEC9D5">
            <w:pPr>
              <w:pStyle w:val="2"/>
              <w:ind w:firstLine="0"/>
            </w:pPr>
            <w:r>
              <w:rPr>
                <w:rFonts w:hint="eastAsia" w:eastAsia="宋体" w:cs="宋体"/>
                <w:sz w:val="21"/>
                <w:szCs w:val="21"/>
              </w:rPr>
              <w:t>60260</w:t>
            </w:r>
          </w:p>
          <w:p w14:paraId="14ACFD82">
            <w:pPr>
              <w:rPr>
                <w:rFonts w:ascii="宋体" w:hAnsi="宋体" w:cs="宋体"/>
                <w:szCs w:val="21"/>
              </w:rPr>
            </w:pPr>
          </w:p>
        </w:tc>
        <w:tc>
          <w:tcPr>
            <w:tcW w:w="900" w:type="dxa"/>
            <w:vMerge w:val="restart"/>
            <w:tcBorders>
              <w:top w:val="single" w:color="auto" w:sz="4" w:space="0"/>
              <w:left w:val="single" w:color="auto" w:sz="4" w:space="0"/>
              <w:bottom w:val="single" w:color="auto" w:sz="4" w:space="0"/>
              <w:right w:val="single" w:color="auto" w:sz="4" w:space="0"/>
            </w:tcBorders>
            <w:noWrap/>
            <w:vAlign w:val="center"/>
          </w:tcPr>
          <w:p w14:paraId="2977F052">
            <w:pPr>
              <w:rPr>
                <w:rFonts w:ascii="宋体" w:hAnsi="宋体" w:cs="宋体"/>
                <w:szCs w:val="21"/>
              </w:rPr>
            </w:pPr>
            <w:r>
              <w:rPr>
                <w:rFonts w:hint="eastAsia" w:ascii="宋体" w:hAnsi="宋体" w:cs="宋体"/>
                <w:szCs w:val="21"/>
              </w:rPr>
              <w:t>60000</w:t>
            </w:r>
          </w:p>
        </w:tc>
        <w:tc>
          <w:tcPr>
            <w:tcW w:w="850" w:type="dxa"/>
            <w:vMerge w:val="restart"/>
            <w:tcBorders>
              <w:top w:val="single" w:color="auto" w:sz="4" w:space="0"/>
              <w:left w:val="single" w:color="auto" w:sz="4" w:space="0"/>
              <w:bottom w:val="single" w:color="auto" w:sz="4" w:space="0"/>
              <w:right w:val="single" w:color="auto" w:sz="4" w:space="0"/>
            </w:tcBorders>
            <w:noWrap/>
            <w:vAlign w:val="center"/>
          </w:tcPr>
          <w:p w14:paraId="6DB2A813">
            <w:pPr>
              <w:rPr>
                <w:rFonts w:ascii="宋体" w:hAnsi="宋体" w:cs="宋体"/>
                <w:szCs w:val="21"/>
              </w:rPr>
            </w:pPr>
            <w:r>
              <w:rPr>
                <w:rFonts w:hint="eastAsia" w:ascii="宋体" w:hAnsi="宋体" w:cs="宋体"/>
                <w:szCs w:val="21"/>
              </w:rPr>
              <w:t>60000</w:t>
            </w:r>
          </w:p>
        </w:tc>
      </w:tr>
      <w:tr w14:paraId="170B7B1B">
        <w:tblPrEx>
          <w:tblCellMar>
            <w:top w:w="0" w:type="dxa"/>
            <w:left w:w="108" w:type="dxa"/>
            <w:bottom w:w="0" w:type="dxa"/>
            <w:right w:w="108" w:type="dxa"/>
          </w:tblCellMar>
        </w:tblPrEx>
        <w:trPr>
          <w:trHeight w:val="778" w:hRule="atLeast"/>
        </w:trPr>
        <w:tc>
          <w:tcPr>
            <w:tcW w:w="365" w:type="dxa"/>
            <w:vMerge w:val="continue"/>
            <w:tcBorders>
              <w:left w:val="single" w:color="auto" w:sz="4" w:space="0"/>
              <w:right w:val="single" w:color="auto" w:sz="4" w:space="0"/>
            </w:tcBorders>
            <w:noWrap/>
            <w:vAlign w:val="center"/>
          </w:tcPr>
          <w:p w14:paraId="7038EDB5">
            <w:pPr>
              <w:widowControl/>
              <w:textAlignment w:val="center"/>
              <w:rPr>
                <w:rFonts w:ascii="宋体" w:hAnsi="宋体" w:cs="宋体"/>
                <w:color w:val="FF0000"/>
                <w:sz w:val="20"/>
                <w:szCs w:val="20"/>
              </w:rPr>
            </w:pPr>
          </w:p>
        </w:tc>
        <w:tc>
          <w:tcPr>
            <w:tcW w:w="367" w:type="dxa"/>
            <w:gridSpan w:val="2"/>
            <w:vMerge w:val="continue"/>
            <w:tcBorders>
              <w:left w:val="single" w:color="auto" w:sz="4" w:space="0"/>
              <w:right w:val="single" w:color="auto" w:sz="4" w:space="0"/>
            </w:tcBorders>
            <w:noWrap/>
            <w:vAlign w:val="center"/>
          </w:tcPr>
          <w:p w14:paraId="3AEC7A76">
            <w:pPr>
              <w:widowControl/>
              <w:textAlignment w:val="center"/>
              <w:rPr>
                <w:rFonts w:ascii="宋体" w:hAnsi="宋体" w:cs="宋体"/>
                <w:b/>
                <w:bCs/>
                <w:sz w:val="20"/>
                <w:szCs w:val="20"/>
              </w:rPr>
            </w:pPr>
          </w:p>
        </w:tc>
        <w:tc>
          <w:tcPr>
            <w:tcW w:w="717"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67809F51">
            <w:pPr>
              <w:jc w:val="left"/>
              <w:rPr>
                <w:rFonts w:ascii="宋体" w:hAnsi="宋体" w:cs="宋体"/>
                <w:sz w:val="20"/>
                <w:szCs w:val="20"/>
              </w:rPr>
            </w:pPr>
          </w:p>
        </w:tc>
        <w:tc>
          <w:tcPr>
            <w:tcW w:w="2083" w:type="dxa"/>
            <w:tcBorders>
              <w:top w:val="single" w:color="auto" w:sz="4" w:space="0"/>
              <w:left w:val="single" w:color="auto" w:sz="4" w:space="0"/>
              <w:bottom w:val="single" w:color="auto" w:sz="4" w:space="0"/>
              <w:right w:val="single" w:color="auto" w:sz="4" w:space="0"/>
            </w:tcBorders>
            <w:noWrap/>
            <w:vAlign w:val="center"/>
          </w:tcPr>
          <w:p w14:paraId="38D5042B">
            <w:pPr>
              <w:rPr>
                <w:rFonts w:ascii="宋体" w:hAnsi="宋体" w:cs="宋体"/>
                <w:sz w:val="20"/>
                <w:szCs w:val="20"/>
              </w:rPr>
            </w:pPr>
            <w:r>
              <w:rPr>
                <w:rFonts w:hint="eastAsia"/>
                <w:sz w:val="24"/>
                <w:szCs w:val="32"/>
              </w:rPr>
              <w:t>8-50-20</w:t>
            </w:r>
            <w:r>
              <w:rPr>
                <w:rFonts w:hint="eastAsia"/>
              </w:rPr>
              <w:t>涤纶长丝/涤纶长丝-聚氨酯（黎塘校区）</w:t>
            </w:r>
          </w:p>
        </w:tc>
        <w:tc>
          <w:tcPr>
            <w:tcW w:w="433" w:type="dxa"/>
            <w:tcBorders>
              <w:top w:val="single" w:color="auto" w:sz="4" w:space="0"/>
              <w:left w:val="single" w:color="auto" w:sz="4" w:space="0"/>
              <w:bottom w:val="single" w:color="auto" w:sz="4" w:space="0"/>
              <w:right w:val="single" w:color="auto" w:sz="4" w:space="0"/>
            </w:tcBorders>
            <w:noWrap/>
            <w:vAlign w:val="center"/>
          </w:tcPr>
          <w:p w14:paraId="57FFF3DE">
            <w:r>
              <w:rPr>
                <w:rFonts w:hint="eastAsia"/>
              </w:rPr>
              <w:t>条</w:t>
            </w:r>
          </w:p>
        </w:tc>
        <w:tc>
          <w:tcPr>
            <w:tcW w:w="667" w:type="dxa"/>
            <w:tcBorders>
              <w:top w:val="single" w:color="auto" w:sz="4" w:space="0"/>
              <w:left w:val="single" w:color="auto" w:sz="4" w:space="0"/>
              <w:bottom w:val="single" w:color="auto" w:sz="4" w:space="0"/>
              <w:right w:val="single" w:color="auto" w:sz="4" w:space="0"/>
            </w:tcBorders>
            <w:noWrap/>
            <w:vAlign w:val="center"/>
          </w:tcPr>
          <w:p w14:paraId="75F82744">
            <w:pPr>
              <w:rPr>
                <w:rFonts w:ascii="宋体" w:hAnsi="宋体" w:cs="宋体"/>
                <w:sz w:val="20"/>
                <w:szCs w:val="20"/>
              </w:rPr>
            </w:pPr>
            <w:r>
              <w:rPr>
                <w:rFonts w:hint="eastAsia"/>
              </w:rPr>
              <w:t>14</w:t>
            </w:r>
          </w:p>
        </w:tc>
        <w:tc>
          <w:tcPr>
            <w:tcW w:w="783" w:type="dxa"/>
            <w:tcBorders>
              <w:top w:val="single" w:color="auto" w:sz="4" w:space="0"/>
              <w:left w:val="single" w:color="auto" w:sz="4" w:space="0"/>
              <w:bottom w:val="single" w:color="auto" w:sz="4" w:space="0"/>
              <w:right w:val="single" w:color="auto" w:sz="4" w:space="0"/>
            </w:tcBorders>
            <w:noWrap/>
            <w:vAlign w:val="center"/>
          </w:tcPr>
          <w:p w14:paraId="49A26832">
            <w:pPr>
              <w:ind w:firstLine="210" w:firstLineChars="100"/>
              <w:rPr>
                <w:rFonts w:ascii="宋体" w:hAnsi="宋体" w:cs="宋体"/>
                <w:sz w:val="20"/>
                <w:szCs w:val="20"/>
              </w:rPr>
            </w:pPr>
            <w:r>
              <w:rPr>
                <w:rFonts w:hint="eastAsia"/>
              </w:rPr>
              <w:t>90</w:t>
            </w:r>
          </w:p>
        </w:tc>
        <w:tc>
          <w:tcPr>
            <w:tcW w:w="800" w:type="dxa"/>
            <w:tcBorders>
              <w:top w:val="single" w:color="auto" w:sz="4" w:space="0"/>
              <w:left w:val="single" w:color="auto" w:sz="4" w:space="0"/>
              <w:bottom w:val="single" w:color="auto" w:sz="4" w:space="0"/>
              <w:right w:val="single" w:color="auto" w:sz="4" w:space="0"/>
            </w:tcBorders>
            <w:noWrap/>
            <w:vAlign w:val="center"/>
          </w:tcPr>
          <w:p w14:paraId="2AE1E67E">
            <w:pPr>
              <w:rPr>
                <w:rFonts w:ascii="宋体" w:hAnsi="宋体" w:cs="宋体"/>
                <w:sz w:val="20"/>
                <w:szCs w:val="20"/>
              </w:rPr>
            </w:pPr>
            <w:r>
              <w:t>1260</w:t>
            </w:r>
          </w:p>
        </w:tc>
        <w:tc>
          <w:tcPr>
            <w:tcW w:w="850" w:type="dxa"/>
            <w:vMerge w:val="continue"/>
            <w:tcBorders>
              <w:left w:val="single" w:color="auto" w:sz="4" w:space="0"/>
              <w:right w:val="single" w:color="auto" w:sz="4" w:space="0"/>
            </w:tcBorders>
            <w:noWrap/>
            <w:vAlign w:val="center"/>
          </w:tcPr>
          <w:p w14:paraId="744819FD">
            <w:pPr>
              <w:ind w:firstLine="200" w:firstLineChars="100"/>
              <w:rPr>
                <w:rFonts w:ascii="宋体" w:hAnsi="宋体" w:cs="宋体"/>
                <w:sz w:val="20"/>
                <w:szCs w:val="20"/>
              </w:rPr>
            </w:pPr>
          </w:p>
        </w:tc>
        <w:tc>
          <w:tcPr>
            <w:tcW w:w="900" w:type="dxa"/>
            <w:vMerge w:val="continue"/>
            <w:tcBorders>
              <w:top w:val="single" w:color="auto" w:sz="4" w:space="0"/>
              <w:left w:val="single" w:color="auto" w:sz="4" w:space="0"/>
              <w:bottom w:val="single" w:color="auto" w:sz="4" w:space="0"/>
              <w:right w:val="single" w:color="auto" w:sz="4" w:space="0"/>
            </w:tcBorders>
            <w:noWrap/>
            <w:vAlign w:val="center"/>
          </w:tcPr>
          <w:p w14:paraId="11F9C6D3">
            <w:pPr>
              <w:rPr>
                <w:rFonts w:ascii="宋体" w:hAnsi="宋体" w:cs="宋体"/>
                <w:sz w:val="20"/>
                <w:szCs w:val="20"/>
              </w:rPr>
            </w:pPr>
          </w:p>
        </w:tc>
        <w:tc>
          <w:tcPr>
            <w:tcW w:w="850" w:type="dxa"/>
            <w:vMerge w:val="continue"/>
            <w:tcBorders>
              <w:top w:val="single" w:color="auto" w:sz="4" w:space="0"/>
              <w:left w:val="single" w:color="auto" w:sz="4" w:space="0"/>
              <w:bottom w:val="single" w:color="auto" w:sz="4" w:space="0"/>
              <w:right w:val="single" w:color="auto" w:sz="4" w:space="0"/>
            </w:tcBorders>
            <w:noWrap/>
            <w:vAlign w:val="center"/>
          </w:tcPr>
          <w:p w14:paraId="71E5E585">
            <w:pPr>
              <w:rPr>
                <w:rFonts w:ascii="宋体" w:hAnsi="宋体" w:cs="宋体"/>
                <w:sz w:val="20"/>
                <w:szCs w:val="20"/>
              </w:rPr>
            </w:pPr>
          </w:p>
        </w:tc>
      </w:tr>
      <w:tr w14:paraId="57743510">
        <w:tblPrEx>
          <w:tblCellMar>
            <w:top w:w="0" w:type="dxa"/>
            <w:left w:w="108" w:type="dxa"/>
            <w:bottom w:w="0" w:type="dxa"/>
            <w:right w:w="108" w:type="dxa"/>
          </w:tblCellMar>
        </w:tblPrEx>
        <w:trPr>
          <w:trHeight w:val="761" w:hRule="atLeast"/>
        </w:trPr>
        <w:tc>
          <w:tcPr>
            <w:tcW w:w="365" w:type="dxa"/>
            <w:vMerge w:val="continue"/>
            <w:tcBorders>
              <w:left w:val="single" w:color="auto" w:sz="4" w:space="0"/>
              <w:right w:val="single" w:color="auto" w:sz="4" w:space="0"/>
            </w:tcBorders>
            <w:noWrap/>
            <w:vAlign w:val="center"/>
          </w:tcPr>
          <w:p w14:paraId="7213D52D">
            <w:pPr>
              <w:widowControl/>
              <w:textAlignment w:val="center"/>
              <w:rPr>
                <w:rFonts w:ascii="宋体" w:hAnsi="宋体" w:cs="宋体"/>
                <w:color w:val="FF0000"/>
                <w:sz w:val="20"/>
                <w:szCs w:val="20"/>
              </w:rPr>
            </w:pPr>
          </w:p>
        </w:tc>
        <w:tc>
          <w:tcPr>
            <w:tcW w:w="367" w:type="dxa"/>
            <w:gridSpan w:val="2"/>
            <w:vMerge w:val="continue"/>
            <w:tcBorders>
              <w:left w:val="single" w:color="auto" w:sz="4" w:space="0"/>
              <w:bottom w:val="single" w:color="auto" w:sz="4" w:space="0"/>
              <w:right w:val="single" w:color="auto" w:sz="4" w:space="0"/>
            </w:tcBorders>
            <w:noWrap/>
            <w:vAlign w:val="center"/>
          </w:tcPr>
          <w:p w14:paraId="23150CA5">
            <w:pPr>
              <w:widowControl/>
              <w:textAlignment w:val="center"/>
              <w:rPr>
                <w:rFonts w:ascii="宋体" w:hAnsi="宋体" w:cs="宋体"/>
                <w:b/>
                <w:bCs/>
                <w:sz w:val="20"/>
                <w:szCs w:val="20"/>
              </w:rPr>
            </w:pPr>
          </w:p>
        </w:tc>
        <w:tc>
          <w:tcPr>
            <w:tcW w:w="717" w:type="dxa"/>
            <w:gridSpan w:val="2"/>
            <w:vMerge w:val="continue"/>
            <w:tcBorders>
              <w:top w:val="single" w:color="auto" w:sz="4" w:space="0"/>
              <w:left w:val="single" w:color="auto" w:sz="4" w:space="0"/>
              <w:bottom w:val="single" w:color="auto" w:sz="4" w:space="0"/>
              <w:right w:val="single" w:color="auto" w:sz="4" w:space="0"/>
            </w:tcBorders>
            <w:noWrap/>
            <w:vAlign w:val="center"/>
          </w:tcPr>
          <w:p w14:paraId="460EAAEF">
            <w:pPr>
              <w:jc w:val="left"/>
              <w:rPr>
                <w:rFonts w:ascii="宋体" w:hAnsi="宋体" w:cs="宋体"/>
                <w:sz w:val="20"/>
                <w:szCs w:val="20"/>
              </w:rPr>
            </w:pPr>
          </w:p>
        </w:tc>
        <w:tc>
          <w:tcPr>
            <w:tcW w:w="2083" w:type="dxa"/>
            <w:tcBorders>
              <w:top w:val="single" w:color="auto" w:sz="4" w:space="0"/>
              <w:left w:val="single" w:color="auto" w:sz="4" w:space="0"/>
              <w:bottom w:val="single" w:color="auto" w:sz="4" w:space="0"/>
              <w:right w:val="single" w:color="auto" w:sz="4" w:space="0"/>
            </w:tcBorders>
            <w:noWrap/>
            <w:vAlign w:val="center"/>
          </w:tcPr>
          <w:p w14:paraId="2C0E6D47">
            <w:pPr>
              <w:rPr>
                <w:rFonts w:ascii="宋体" w:hAnsi="宋体" w:cs="宋体"/>
                <w:sz w:val="20"/>
                <w:szCs w:val="20"/>
              </w:rPr>
            </w:pPr>
            <w:r>
              <w:rPr>
                <w:rFonts w:hint="eastAsia"/>
                <w:sz w:val="24"/>
                <w:szCs w:val="32"/>
              </w:rPr>
              <w:t>8-65-25</w:t>
            </w:r>
            <w:r>
              <w:rPr>
                <w:rFonts w:hint="eastAsia"/>
              </w:rPr>
              <w:t>涤纶长丝/涤纶长丝-聚氨酯（相思湖校区）</w:t>
            </w:r>
          </w:p>
        </w:tc>
        <w:tc>
          <w:tcPr>
            <w:tcW w:w="433" w:type="dxa"/>
            <w:tcBorders>
              <w:top w:val="single" w:color="auto" w:sz="4" w:space="0"/>
              <w:left w:val="single" w:color="auto" w:sz="4" w:space="0"/>
              <w:bottom w:val="single" w:color="auto" w:sz="4" w:space="0"/>
              <w:right w:val="single" w:color="auto" w:sz="4" w:space="0"/>
            </w:tcBorders>
            <w:noWrap/>
            <w:vAlign w:val="center"/>
          </w:tcPr>
          <w:p w14:paraId="6AA18D25">
            <w:r>
              <w:rPr>
                <w:rFonts w:hint="eastAsia"/>
              </w:rPr>
              <w:t>条</w:t>
            </w:r>
          </w:p>
        </w:tc>
        <w:tc>
          <w:tcPr>
            <w:tcW w:w="667" w:type="dxa"/>
            <w:tcBorders>
              <w:top w:val="single" w:color="auto" w:sz="4" w:space="0"/>
              <w:left w:val="single" w:color="auto" w:sz="4" w:space="0"/>
              <w:bottom w:val="single" w:color="auto" w:sz="4" w:space="0"/>
              <w:right w:val="single" w:color="auto" w:sz="4" w:space="0"/>
            </w:tcBorders>
            <w:noWrap/>
            <w:vAlign w:val="center"/>
          </w:tcPr>
          <w:p w14:paraId="7E5780DF">
            <w:pPr>
              <w:rPr>
                <w:rFonts w:ascii="宋体" w:hAnsi="宋体" w:cs="宋体"/>
                <w:sz w:val="20"/>
                <w:szCs w:val="20"/>
              </w:rPr>
            </w:pPr>
            <w:r>
              <w:rPr>
                <w:rFonts w:hint="eastAsia"/>
              </w:rPr>
              <w:t>525</w:t>
            </w:r>
          </w:p>
        </w:tc>
        <w:tc>
          <w:tcPr>
            <w:tcW w:w="783" w:type="dxa"/>
            <w:tcBorders>
              <w:top w:val="single" w:color="auto" w:sz="4" w:space="0"/>
              <w:left w:val="single" w:color="auto" w:sz="4" w:space="0"/>
              <w:bottom w:val="single" w:color="auto" w:sz="4" w:space="0"/>
              <w:right w:val="single" w:color="auto" w:sz="4" w:space="0"/>
            </w:tcBorders>
            <w:noWrap/>
            <w:vAlign w:val="center"/>
          </w:tcPr>
          <w:p w14:paraId="622578A0">
            <w:pPr>
              <w:ind w:firstLine="210" w:firstLineChars="100"/>
              <w:rPr>
                <w:rFonts w:ascii="宋体" w:hAnsi="宋体" w:cs="宋体"/>
                <w:sz w:val="20"/>
                <w:szCs w:val="20"/>
              </w:rPr>
            </w:pPr>
            <w:r>
              <w:rPr>
                <w:rFonts w:hint="eastAsia"/>
              </w:rPr>
              <w:t>100</w:t>
            </w:r>
          </w:p>
        </w:tc>
        <w:tc>
          <w:tcPr>
            <w:tcW w:w="800" w:type="dxa"/>
            <w:tcBorders>
              <w:top w:val="single" w:color="auto" w:sz="4" w:space="0"/>
              <w:left w:val="single" w:color="auto" w:sz="4" w:space="0"/>
              <w:bottom w:val="single" w:color="auto" w:sz="4" w:space="0"/>
              <w:right w:val="single" w:color="auto" w:sz="4" w:space="0"/>
            </w:tcBorders>
            <w:noWrap/>
            <w:vAlign w:val="center"/>
          </w:tcPr>
          <w:p w14:paraId="796A55C5">
            <w:pPr>
              <w:rPr>
                <w:rFonts w:ascii="宋体" w:hAnsi="宋体" w:cs="宋体"/>
                <w:sz w:val="20"/>
                <w:szCs w:val="20"/>
              </w:rPr>
            </w:pPr>
            <w:r>
              <w:rPr>
                <w:rFonts w:hint="eastAsia"/>
              </w:rPr>
              <w:t>52500</w:t>
            </w:r>
          </w:p>
        </w:tc>
        <w:tc>
          <w:tcPr>
            <w:tcW w:w="850" w:type="dxa"/>
            <w:vMerge w:val="continue"/>
            <w:tcBorders>
              <w:left w:val="single" w:color="auto" w:sz="4" w:space="0"/>
              <w:right w:val="single" w:color="auto" w:sz="4" w:space="0"/>
            </w:tcBorders>
            <w:noWrap/>
            <w:vAlign w:val="center"/>
          </w:tcPr>
          <w:p w14:paraId="78729D7E">
            <w:pPr>
              <w:rPr>
                <w:rFonts w:ascii="宋体" w:hAnsi="宋体" w:cs="宋体"/>
                <w:sz w:val="20"/>
                <w:szCs w:val="20"/>
              </w:rPr>
            </w:pPr>
          </w:p>
        </w:tc>
        <w:tc>
          <w:tcPr>
            <w:tcW w:w="900" w:type="dxa"/>
            <w:vMerge w:val="continue"/>
            <w:tcBorders>
              <w:top w:val="single" w:color="auto" w:sz="4" w:space="0"/>
              <w:left w:val="single" w:color="auto" w:sz="4" w:space="0"/>
              <w:bottom w:val="single" w:color="auto" w:sz="4" w:space="0"/>
              <w:right w:val="single" w:color="auto" w:sz="4" w:space="0"/>
            </w:tcBorders>
            <w:noWrap/>
            <w:vAlign w:val="center"/>
          </w:tcPr>
          <w:p w14:paraId="32EF188A">
            <w:pPr>
              <w:rPr>
                <w:rFonts w:ascii="宋体" w:hAnsi="宋体" w:cs="宋体"/>
                <w:sz w:val="20"/>
                <w:szCs w:val="20"/>
              </w:rPr>
            </w:pPr>
          </w:p>
        </w:tc>
        <w:tc>
          <w:tcPr>
            <w:tcW w:w="850" w:type="dxa"/>
            <w:vMerge w:val="continue"/>
            <w:tcBorders>
              <w:top w:val="single" w:color="auto" w:sz="4" w:space="0"/>
              <w:left w:val="single" w:color="auto" w:sz="4" w:space="0"/>
              <w:bottom w:val="single" w:color="auto" w:sz="4" w:space="0"/>
              <w:right w:val="single" w:color="auto" w:sz="4" w:space="0"/>
            </w:tcBorders>
            <w:noWrap/>
            <w:vAlign w:val="center"/>
          </w:tcPr>
          <w:p w14:paraId="401FC6F3">
            <w:pPr>
              <w:rPr>
                <w:rFonts w:ascii="宋体" w:hAnsi="宋体" w:cs="宋体"/>
                <w:sz w:val="20"/>
                <w:szCs w:val="20"/>
              </w:rPr>
            </w:pPr>
          </w:p>
        </w:tc>
      </w:tr>
      <w:tr w14:paraId="17D3D614">
        <w:tblPrEx>
          <w:tblCellMar>
            <w:top w:w="0" w:type="dxa"/>
            <w:left w:w="108" w:type="dxa"/>
            <w:bottom w:w="0" w:type="dxa"/>
            <w:right w:w="108" w:type="dxa"/>
          </w:tblCellMar>
        </w:tblPrEx>
        <w:trPr>
          <w:trHeight w:val="863" w:hRule="atLeast"/>
        </w:trPr>
        <w:tc>
          <w:tcPr>
            <w:tcW w:w="365" w:type="dxa"/>
            <w:vMerge w:val="continue"/>
            <w:tcBorders>
              <w:left w:val="single" w:color="auto" w:sz="4" w:space="0"/>
              <w:bottom w:val="single" w:color="auto" w:sz="4" w:space="0"/>
              <w:right w:val="single" w:color="auto" w:sz="4" w:space="0"/>
            </w:tcBorders>
            <w:noWrap/>
            <w:vAlign w:val="center"/>
          </w:tcPr>
          <w:p w14:paraId="768B2C21">
            <w:pPr>
              <w:widowControl/>
              <w:textAlignment w:val="center"/>
              <w:rPr>
                <w:rFonts w:ascii="宋体" w:hAnsi="宋体" w:cs="宋体"/>
                <w:color w:val="FF0000"/>
                <w:sz w:val="20"/>
                <w:szCs w:val="20"/>
              </w:rPr>
            </w:pPr>
          </w:p>
        </w:tc>
        <w:tc>
          <w:tcPr>
            <w:tcW w:w="367" w:type="dxa"/>
            <w:gridSpan w:val="2"/>
            <w:tcBorders>
              <w:top w:val="single" w:color="auto" w:sz="4" w:space="0"/>
              <w:left w:val="single" w:color="auto" w:sz="4" w:space="0"/>
              <w:bottom w:val="single" w:color="auto" w:sz="4" w:space="0"/>
              <w:right w:val="single" w:color="auto" w:sz="4" w:space="0"/>
            </w:tcBorders>
            <w:noWrap/>
            <w:vAlign w:val="center"/>
          </w:tcPr>
          <w:p w14:paraId="392F4598">
            <w:pPr>
              <w:widowControl/>
              <w:textAlignment w:val="center"/>
              <w:rPr>
                <w:rFonts w:ascii="宋体" w:hAnsi="宋体" w:cs="宋体"/>
                <w:b/>
                <w:bCs/>
                <w:szCs w:val="21"/>
              </w:rPr>
            </w:pPr>
            <w:r>
              <w:rPr>
                <w:rFonts w:hint="eastAsia" w:ascii="宋体" w:hAnsi="宋体" w:cs="宋体"/>
                <w:b/>
                <w:bCs/>
                <w:szCs w:val="21"/>
              </w:rPr>
              <w:t>2</w:t>
            </w:r>
          </w:p>
        </w:tc>
        <w:tc>
          <w:tcPr>
            <w:tcW w:w="717" w:type="dxa"/>
            <w:gridSpan w:val="2"/>
            <w:tcBorders>
              <w:top w:val="single" w:color="auto" w:sz="4" w:space="0"/>
              <w:left w:val="single" w:color="auto" w:sz="4" w:space="0"/>
              <w:bottom w:val="single" w:color="auto" w:sz="4" w:space="0"/>
              <w:right w:val="single" w:color="auto" w:sz="4" w:space="0"/>
            </w:tcBorders>
            <w:noWrap/>
            <w:vAlign w:val="center"/>
          </w:tcPr>
          <w:p w14:paraId="6DAC8404">
            <w:pPr>
              <w:pStyle w:val="2"/>
              <w:widowControl/>
              <w:spacing w:line="240" w:lineRule="exact"/>
              <w:ind w:firstLine="0"/>
              <w:jc w:val="left"/>
              <w:rPr>
                <w:rFonts w:eastAsia="宋体" w:cs="宋体"/>
                <w:sz w:val="21"/>
                <w:szCs w:val="21"/>
              </w:rPr>
            </w:pPr>
            <w:r>
              <w:rPr>
                <w:rFonts w:hint="eastAsia" w:eastAsia="宋体" w:cs="宋体"/>
                <w:sz w:val="21"/>
                <w:szCs w:val="21"/>
              </w:rPr>
              <w:t>强光手电筒</w:t>
            </w:r>
          </w:p>
        </w:tc>
        <w:tc>
          <w:tcPr>
            <w:tcW w:w="2083" w:type="dxa"/>
            <w:tcBorders>
              <w:top w:val="single" w:color="auto" w:sz="4" w:space="0"/>
              <w:left w:val="single" w:color="auto" w:sz="4" w:space="0"/>
              <w:bottom w:val="single" w:color="auto" w:sz="4" w:space="0"/>
              <w:right w:val="single" w:color="auto" w:sz="4" w:space="0"/>
            </w:tcBorders>
            <w:noWrap/>
            <w:vAlign w:val="center"/>
          </w:tcPr>
          <w:p w14:paraId="52AE0A2C">
            <w:pPr>
              <w:widowControl/>
              <w:spacing w:line="240" w:lineRule="exact"/>
              <w:rPr>
                <w:rFonts w:ascii="宋体" w:hAnsi="宋体" w:cs="宋体"/>
                <w:szCs w:val="21"/>
              </w:rPr>
            </w:pPr>
            <w:r>
              <w:rPr>
                <w:rFonts w:hint="eastAsia" w:ascii="宋体" w:hAnsi="宋体" w:cs="宋体"/>
                <w:szCs w:val="21"/>
              </w:rPr>
              <w:t>SUPERFIRE神火/L16-T（两校区）</w:t>
            </w:r>
          </w:p>
        </w:tc>
        <w:tc>
          <w:tcPr>
            <w:tcW w:w="433" w:type="dxa"/>
            <w:tcBorders>
              <w:top w:val="single" w:color="auto" w:sz="4" w:space="0"/>
              <w:left w:val="single" w:color="auto" w:sz="4" w:space="0"/>
              <w:bottom w:val="single" w:color="auto" w:sz="4" w:space="0"/>
              <w:right w:val="single" w:color="auto" w:sz="4" w:space="0"/>
            </w:tcBorders>
            <w:noWrap/>
            <w:vAlign w:val="center"/>
          </w:tcPr>
          <w:p w14:paraId="20EDE983">
            <w:pPr>
              <w:rPr>
                <w:rFonts w:ascii="宋体" w:hAnsi="宋体" w:cs="宋体"/>
                <w:szCs w:val="21"/>
              </w:rPr>
            </w:pPr>
            <w:r>
              <w:rPr>
                <w:rFonts w:hint="eastAsia" w:ascii="宋体" w:hAnsi="宋体" w:cs="宋体"/>
                <w:szCs w:val="21"/>
              </w:rPr>
              <w:t>支</w:t>
            </w:r>
          </w:p>
        </w:tc>
        <w:tc>
          <w:tcPr>
            <w:tcW w:w="667" w:type="dxa"/>
            <w:tcBorders>
              <w:top w:val="single" w:color="auto" w:sz="4" w:space="0"/>
              <w:left w:val="single" w:color="auto" w:sz="4" w:space="0"/>
              <w:bottom w:val="single" w:color="auto" w:sz="4" w:space="0"/>
              <w:right w:val="single" w:color="auto" w:sz="4" w:space="0"/>
            </w:tcBorders>
            <w:noWrap/>
            <w:vAlign w:val="center"/>
          </w:tcPr>
          <w:p w14:paraId="0CA95AE3">
            <w:pPr>
              <w:rPr>
                <w:rFonts w:ascii="宋体" w:hAnsi="宋体" w:cs="宋体"/>
                <w:szCs w:val="21"/>
              </w:rPr>
            </w:pPr>
            <w:r>
              <w:rPr>
                <w:rFonts w:hint="eastAsia" w:ascii="宋体" w:hAnsi="宋体" w:cs="宋体"/>
                <w:szCs w:val="21"/>
              </w:rPr>
              <w:t>12</w:t>
            </w:r>
          </w:p>
        </w:tc>
        <w:tc>
          <w:tcPr>
            <w:tcW w:w="783" w:type="dxa"/>
            <w:tcBorders>
              <w:top w:val="single" w:color="auto" w:sz="4" w:space="0"/>
              <w:left w:val="single" w:color="auto" w:sz="4" w:space="0"/>
              <w:bottom w:val="single" w:color="auto" w:sz="4" w:space="0"/>
              <w:right w:val="single" w:color="auto" w:sz="4" w:space="0"/>
            </w:tcBorders>
            <w:noWrap/>
            <w:vAlign w:val="center"/>
          </w:tcPr>
          <w:p w14:paraId="65F60B6F">
            <w:pPr>
              <w:ind w:firstLine="210" w:firstLineChars="100"/>
              <w:rPr>
                <w:rFonts w:ascii="宋体" w:hAnsi="宋体" w:cs="宋体"/>
                <w:szCs w:val="21"/>
              </w:rPr>
            </w:pPr>
            <w:r>
              <w:rPr>
                <w:rFonts w:hint="eastAsia" w:ascii="宋体" w:hAnsi="宋体" w:cs="宋体"/>
                <w:szCs w:val="21"/>
              </w:rPr>
              <w:t>75</w:t>
            </w:r>
          </w:p>
        </w:tc>
        <w:tc>
          <w:tcPr>
            <w:tcW w:w="800" w:type="dxa"/>
            <w:tcBorders>
              <w:top w:val="single" w:color="auto" w:sz="4" w:space="0"/>
              <w:left w:val="single" w:color="auto" w:sz="4" w:space="0"/>
              <w:bottom w:val="single" w:color="auto" w:sz="4" w:space="0"/>
              <w:right w:val="single" w:color="auto" w:sz="4" w:space="0"/>
            </w:tcBorders>
            <w:noWrap/>
            <w:vAlign w:val="center"/>
          </w:tcPr>
          <w:p w14:paraId="1E62CF16">
            <w:pPr>
              <w:rPr>
                <w:rFonts w:ascii="宋体" w:hAnsi="宋体" w:cs="宋体"/>
                <w:szCs w:val="21"/>
              </w:rPr>
            </w:pPr>
            <w:r>
              <w:rPr>
                <w:rFonts w:hint="eastAsia" w:ascii="宋体" w:hAnsi="宋体" w:cs="宋体"/>
                <w:szCs w:val="21"/>
              </w:rPr>
              <w:t>900</w:t>
            </w:r>
          </w:p>
        </w:tc>
        <w:tc>
          <w:tcPr>
            <w:tcW w:w="850" w:type="dxa"/>
            <w:vMerge w:val="continue"/>
            <w:tcBorders>
              <w:left w:val="single" w:color="auto" w:sz="4" w:space="0"/>
              <w:bottom w:val="single" w:color="auto" w:sz="4" w:space="0"/>
              <w:right w:val="single" w:color="auto" w:sz="4" w:space="0"/>
            </w:tcBorders>
            <w:noWrap/>
            <w:vAlign w:val="center"/>
          </w:tcPr>
          <w:p w14:paraId="1590ADAC">
            <w:pPr>
              <w:ind w:firstLine="200" w:firstLineChars="100"/>
              <w:rPr>
                <w:rFonts w:ascii="宋体" w:hAnsi="宋体" w:cs="宋体"/>
                <w:sz w:val="20"/>
                <w:szCs w:val="20"/>
              </w:rPr>
            </w:pPr>
          </w:p>
        </w:tc>
        <w:tc>
          <w:tcPr>
            <w:tcW w:w="900" w:type="dxa"/>
            <w:vMerge w:val="continue"/>
            <w:tcBorders>
              <w:top w:val="single" w:color="auto" w:sz="4" w:space="0"/>
              <w:left w:val="single" w:color="auto" w:sz="4" w:space="0"/>
              <w:bottom w:val="single" w:color="auto" w:sz="4" w:space="0"/>
              <w:right w:val="single" w:color="auto" w:sz="4" w:space="0"/>
            </w:tcBorders>
            <w:noWrap/>
            <w:vAlign w:val="center"/>
          </w:tcPr>
          <w:p w14:paraId="0D47EBA5">
            <w:pPr>
              <w:rPr>
                <w:rFonts w:ascii="宋体" w:hAnsi="宋体" w:cs="宋体"/>
                <w:sz w:val="20"/>
                <w:szCs w:val="20"/>
              </w:rPr>
            </w:pPr>
          </w:p>
        </w:tc>
        <w:tc>
          <w:tcPr>
            <w:tcW w:w="850" w:type="dxa"/>
            <w:vMerge w:val="continue"/>
            <w:tcBorders>
              <w:top w:val="single" w:color="auto" w:sz="4" w:space="0"/>
              <w:left w:val="single" w:color="auto" w:sz="4" w:space="0"/>
              <w:bottom w:val="single" w:color="auto" w:sz="4" w:space="0"/>
              <w:right w:val="single" w:color="auto" w:sz="4" w:space="0"/>
            </w:tcBorders>
            <w:noWrap/>
            <w:vAlign w:val="center"/>
          </w:tcPr>
          <w:p w14:paraId="3824ACE0">
            <w:pPr>
              <w:rPr>
                <w:rFonts w:ascii="宋体" w:hAnsi="宋体" w:cs="宋体"/>
                <w:sz w:val="20"/>
                <w:szCs w:val="20"/>
              </w:rPr>
            </w:pPr>
          </w:p>
        </w:tc>
      </w:tr>
      <w:tr w14:paraId="614AA1F5">
        <w:tblPrEx>
          <w:tblCellMar>
            <w:top w:w="0" w:type="dxa"/>
            <w:left w:w="108" w:type="dxa"/>
            <w:bottom w:w="0" w:type="dxa"/>
            <w:right w:w="108" w:type="dxa"/>
          </w:tblCellMar>
        </w:tblPrEx>
        <w:trPr>
          <w:trHeight w:val="466" w:hRule="atLeast"/>
        </w:trPr>
        <w:tc>
          <w:tcPr>
            <w:tcW w:w="8815" w:type="dxa"/>
            <w:gridSpan w:val="13"/>
            <w:tcBorders>
              <w:top w:val="single" w:color="auto" w:sz="4" w:space="0"/>
              <w:left w:val="single" w:color="auto" w:sz="4" w:space="0"/>
              <w:bottom w:val="single" w:color="auto" w:sz="4" w:space="0"/>
              <w:right w:val="single" w:color="000000" w:sz="4" w:space="0"/>
            </w:tcBorders>
            <w:noWrap/>
            <w:vAlign w:val="center"/>
          </w:tcPr>
          <w:p w14:paraId="30DF3818">
            <w:pPr>
              <w:widowControl/>
              <w:jc w:val="center"/>
              <w:textAlignment w:val="center"/>
              <w:rPr>
                <w:rFonts w:ascii="宋体" w:hAnsi="宋体" w:cs="宋体"/>
                <w:kern w:val="0"/>
                <w:sz w:val="22"/>
                <w:szCs w:val="22"/>
                <w:lang w:bidi="ar"/>
              </w:rPr>
            </w:pPr>
            <w:r>
              <w:rPr>
                <w:rFonts w:ascii="Times New Roman" w:hAnsi="Times New Roman" w:eastAsia="仿宋_GB2312"/>
                <w:sz w:val="24"/>
              </w:rPr>
              <w:t>总计：金额（大写）人民币</w:t>
            </w:r>
            <w:r>
              <w:rPr>
                <w:rFonts w:hint="eastAsia" w:ascii="Times New Roman" w:hAnsi="Times New Roman" w:eastAsia="仿宋_GB2312"/>
                <w:sz w:val="24"/>
                <w:u w:val="single"/>
              </w:rPr>
              <w:t xml:space="preserve">  陆万元 整</w:t>
            </w:r>
          </w:p>
        </w:tc>
      </w:tr>
      <w:tr w14:paraId="129D640D">
        <w:tblPrEx>
          <w:tblCellMar>
            <w:top w:w="0" w:type="dxa"/>
            <w:left w:w="108" w:type="dxa"/>
            <w:bottom w:w="0" w:type="dxa"/>
            <w:right w:w="108" w:type="dxa"/>
          </w:tblCellMar>
        </w:tblPrEx>
        <w:trPr>
          <w:trHeight w:val="643" w:hRule="atLeast"/>
        </w:trPr>
        <w:tc>
          <w:tcPr>
            <w:tcW w:w="432" w:type="dxa"/>
            <w:gridSpan w:val="2"/>
            <w:tcBorders>
              <w:top w:val="single" w:color="auto" w:sz="4" w:space="0"/>
              <w:left w:val="single" w:color="auto" w:sz="4" w:space="0"/>
              <w:bottom w:val="single" w:color="auto" w:sz="4" w:space="0"/>
              <w:right w:val="single" w:color="000000" w:sz="4" w:space="0"/>
            </w:tcBorders>
            <w:noWrap/>
            <w:vAlign w:val="center"/>
          </w:tcPr>
          <w:p w14:paraId="255DB725">
            <w:pPr>
              <w:widowControl/>
              <w:jc w:val="center"/>
              <w:textAlignment w:val="center"/>
              <w:rPr>
                <w:rFonts w:ascii="宋体" w:hAnsi="宋体" w:cs="宋体"/>
                <w:kern w:val="0"/>
                <w:sz w:val="22"/>
                <w:szCs w:val="22"/>
                <w:lang w:bidi="ar"/>
              </w:rPr>
            </w:pPr>
            <w:r>
              <w:rPr>
                <w:rFonts w:hint="eastAsia" w:ascii="宋体" w:hAnsi="宋体" w:cs="宋体"/>
                <w:kern w:val="0"/>
                <w:sz w:val="22"/>
                <w:szCs w:val="22"/>
                <w:lang w:bidi="ar"/>
              </w:rPr>
              <w:t>商务条款</w:t>
            </w:r>
          </w:p>
        </w:tc>
        <w:tc>
          <w:tcPr>
            <w:tcW w:w="559" w:type="dxa"/>
            <w:gridSpan w:val="2"/>
            <w:tcBorders>
              <w:top w:val="single" w:color="auto" w:sz="4" w:space="0"/>
              <w:left w:val="single" w:color="auto" w:sz="4" w:space="0"/>
              <w:bottom w:val="single" w:color="auto" w:sz="4" w:space="0"/>
              <w:right w:val="single" w:color="000000" w:sz="4" w:space="0"/>
            </w:tcBorders>
            <w:noWrap/>
            <w:vAlign w:val="center"/>
          </w:tcPr>
          <w:p w14:paraId="1226FD5C">
            <w:pPr>
              <w:pStyle w:val="12"/>
              <w:spacing w:after="0" w:line="300" w:lineRule="auto"/>
              <w:ind w:left="0" w:leftChars="0" w:firstLine="0" w:firstLineChars="0"/>
              <w:rPr>
                <w:rFonts w:ascii="宋体" w:hAnsi="宋体" w:eastAsia="仿宋_GB2312" w:cs="宋体"/>
                <w:kern w:val="2"/>
                <w:sz w:val="24"/>
                <w:szCs w:val="24"/>
              </w:rPr>
            </w:pPr>
          </w:p>
        </w:tc>
        <w:tc>
          <w:tcPr>
            <w:tcW w:w="7824" w:type="dxa"/>
            <w:gridSpan w:val="9"/>
            <w:tcBorders>
              <w:top w:val="single" w:color="auto" w:sz="4" w:space="0"/>
              <w:left w:val="single" w:color="auto" w:sz="4" w:space="0"/>
              <w:bottom w:val="single" w:color="auto" w:sz="4" w:space="0"/>
              <w:right w:val="single" w:color="000000" w:sz="4" w:space="0"/>
            </w:tcBorders>
            <w:noWrap/>
            <w:vAlign w:val="center"/>
          </w:tcPr>
          <w:p w14:paraId="6CF7EF19">
            <w:pPr>
              <w:widowControl/>
              <w:spacing w:line="300" w:lineRule="auto"/>
              <w:textAlignment w:val="center"/>
              <w:rPr>
                <w:rFonts w:ascii="宋体" w:hAnsi="宋体" w:eastAsia="仿宋_GB2312"/>
                <w:b/>
                <w:bCs/>
                <w:sz w:val="24"/>
              </w:rPr>
            </w:pPr>
            <w:r>
              <w:rPr>
                <w:rFonts w:hint="eastAsia" w:ascii="宋体" w:hAnsi="宋体" w:eastAsia="仿宋_GB2312"/>
                <w:b/>
                <w:bCs/>
                <w:sz w:val="24"/>
              </w:rPr>
              <w:t>一、配送时间及地点</w:t>
            </w:r>
          </w:p>
          <w:p w14:paraId="54EC5953">
            <w:pPr>
              <w:pStyle w:val="2"/>
              <w:spacing w:line="300" w:lineRule="auto"/>
              <w:ind w:firstLine="0"/>
            </w:pPr>
            <w:r>
              <w:rPr>
                <w:rFonts w:hint="eastAsia"/>
              </w:rPr>
              <w:t>1.配送时间：自签订合同之日起30个工作日内。</w:t>
            </w:r>
          </w:p>
          <w:p w14:paraId="23A6910D">
            <w:pPr>
              <w:pStyle w:val="2"/>
              <w:spacing w:line="300" w:lineRule="auto"/>
              <w:ind w:firstLine="0"/>
            </w:pPr>
            <w:r>
              <w:rPr>
                <w:rFonts w:hint="eastAsia"/>
              </w:rPr>
              <w:t>2.配送地点：采购人指定地点（南宁市卫生学校相思湖校区、黎塘校区）</w:t>
            </w:r>
          </w:p>
          <w:p w14:paraId="0E7641F6">
            <w:pPr>
              <w:pStyle w:val="2"/>
              <w:spacing w:line="300" w:lineRule="auto"/>
              <w:ind w:firstLine="0"/>
              <w:rPr>
                <w:b/>
                <w:bCs/>
              </w:rPr>
            </w:pPr>
            <w:r>
              <w:rPr>
                <w:rFonts w:hint="eastAsia"/>
                <w:b/>
                <w:bCs/>
              </w:rPr>
              <w:t>二、支付方式</w:t>
            </w:r>
          </w:p>
          <w:p w14:paraId="6DE1D741">
            <w:pPr>
              <w:pStyle w:val="2"/>
              <w:spacing w:line="300" w:lineRule="auto"/>
              <w:ind w:firstLine="0"/>
            </w:pPr>
            <w:r>
              <w:rPr>
                <w:rFonts w:hint="eastAsia"/>
              </w:rPr>
              <w:t>1.本项目无预付款，经采购人验收合格且</w:t>
            </w:r>
            <w:r>
              <w:t>财政批复本项目</w:t>
            </w:r>
            <w:r>
              <w:rPr>
                <w:rFonts w:hint="eastAsia"/>
              </w:rPr>
              <w:t>用</w:t>
            </w:r>
            <w:r>
              <w:t>款计划</w:t>
            </w:r>
            <w:r>
              <w:rPr>
                <w:rFonts w:hint="eastAsia"/>
              </w:rPr>
              <w:t>后，一次性支付全部货款。</w:t>
            </w:r>
          </w:p>
          <w:p w14:paraId="6F32E10D">
            <w:pPr>
              <w:pStyle w:val="2"/>
              <w:spacing w:line="300" w:lineRule="auto"/>
              <w:ind w:firstLine="0"/>
            </w:pPr>
            <w:r>
              <w:rPr>
                <w:rFonts w:hint="eastAsia"/>
              </w:rPr>
              <w:t>2.支付前，乙方应开具等额发票给甲方，否则支付顺延引起的责任由乙方承担。</w:t>
            </w:r>
          </w:p>
          <w:p w14:paraId="3FE250CB">
            <w:pPr>
              <w:pStyle w:val="2"/>
              <w:spacing w:line="300" w:lineRule="auto"/>
              <w:ind w:firstLine="0"/>
              <w:rPr>
                <w:b/>
                <w:bCs/>
              </w:rPr>
            </w:pPr>
            <w:r>
              <w:rPr>
                <w:rFonts w:hint="eastAsia"/>
                <w:b/>
                <w:bCs/>
              </w:rPr>
              <w:t>三、售后服务</w:t>
            </w:r>
          </w:p>
          <w:p w14:paraId="2FF48E34">
            <w:pPr>
              <w:pStyle w:val="2"/>
              <w:spacing w:line="300" w:lineRule="auto"/>
              <w:ind w:firstLine="0"/>
            </w:pPr>
            <w:r>
              <w:rPr>
                <w:rFonts w:hint="eastAsia"/>
              </w:rPr>
              <w:t xml:space="preserve">服务期/质保期                                                                                        </w:t>
            </w:r>
          </w:p>
          <w:p w14:paraId="58124280">
            <w:pPr>
              <w:pStyle w:val="2"/>
              <w:spacing w:line="300" w:lineRule="auto"/>
              <w:ind w:firstLine="0"/>
            </w:pPr>
            <w:r>
              <w:rPr>
                <w:rFonts w:hint="eastAsia"/>
              </w:rPr>
              <w:t>1.免费送货上门至采购人指定地点，按照国家有关产品“三包”规定执行“三包”，所有货物、配件质保期</w:t>
            </w:r>
            <w:r>
              <w:rPr>
                <w:rFonts w:ascii="Arial" w:hAnsi="Arial" w:cs="Arial"/>
              </w:rPr>
              <w:t>≥</w:t>
            </w:r>
            <w:r>
              <w:rPr>
                <w:rFonts w:hint="eastAsia" w:ascii="Arial" w:hAnsi="Arial" w:cs="Arial"/>
              </w:rPr>
              <w:t>1</w:t>
            </w:r>
            <w:r>
              <w:rPr>
                <w:rFonts w:hint="eastAsia"/>
              </w:rPr>
              <w:t>年，若产品生产厂家免费质保期超过此年限的，合同履约过程中按厂家规定执行。</w:t>
            </w:r>
          </w:p>
          <w:p w14:paraId="377D74B1">
            <w:pPr>
              <w:pStyle w:val="2"/>
              <w:spacing w:line="300" w:lineRule="auto"/>
              <w:ind w:firstLine="0"/>
            </w:pPr>
            <w:r>
              <w:rPr>
                <w:rFonts w:hint="eastAsia"/>
              </w:rPr>
              <w:t>2.接产品质量通知后12小时内作出有效回应，24小时内到达现场提供服务，48小时解决问题。</w:t>
            </w:r>
          </w:p>
          <w:p w14:paraId="52764543">
            <w:pPr>
              <w:pStyle w:val="2"/>
              <w:spacing w:line="300" w:lineRule="auto"/>
              <w:ind w:firstLine="0"/>
            </w:pPr>
            <w:r>
              <w:rPr>
                <w:rFonts w:hint="eastAsia"/>
              </w:rPr>
              <w:t>3.提供明确的售后服务机构地点及售后服务联系人、联系电话。</w:t>
            </w:r>
          </w:p>
          <w:p w14:paraId="3057F530">
            <w:pPr>
              <w:pStyle w:val="12"/>
              <w:spacing w:after="0" w:line="300" w:lineRule="auto"/>
              <w:ind w:left="0" w:leftChars="0" w:firstLine="0" w:firstLineChars="0"/>
              <w:rPr>
                <w:rFonts w:ascii="宋体" w:hAnsi="宋体" w:eastAsia="仿宋_GB2312" w:cs="Times New Roman"/>
                <w:b/>
                <w:bCs/>
                <w:kern w:val="2"/>
                <w:sz w:val="24"/>
                <w:szCs w:val="24"/>
              </w:rPr>
            </w:pPr>
            <w:r>
              <w:rPr>
                <w:rFonts w:hint="eastAsia" w:ascii="宋体" w:hAnsi="宋体" w:eastAsia="仿宋_GB2312" w:cs="Times New Roman"/>
                <w:b/>
                <w:bCs/>
                <w:kern w:val="2"/>
                <w:sz w:val="24"/>
                <w:szCs w:val="24"/>
              </w:rPr>
              <w:t>四、报价要求</w:t>
            </w:r>
          </w:p>
          <w:p w14:paraId="6AFEC60F">
            <w:pPr>
              <w:pStyle w:val="12"/>
              <w:spacing w:after="0" w:line="300" w:lineRule="auto"/>
              <w:ind w:left="0" w:leftChars="0" w:firstLine="0" w:firstLineChars="0"/>
              <w:rPr>
                <w:rFonts w:ascii="宋体" w:hAnsi="宋体" w:eastAsia="仿宋_GB2312" w:cs="宋体"/>
                <w:kern w:val="2"/>
                <w:sz w:val="24"/>
                <w:szCs w:val="24"/>
              </w:rPr>
            </w:pPr>
            <w:r>
              <w:rPr>
                <w:rFonts w:hint="eastAsia" w:ascii="宋体" w:hAnsi="宋体" w:eastAsia="仿宋_GB2312" w:cs="宋体"/>
                <w:kern w:val="2"/>
                <w:sz w:val="24"/>
                <w:szCs w:val="24"/>
              </w:rPr>
              <w:t>1.本项目报价为全包价（含税）。供应商报价包括但不限于货物、专用工具、标准附件备件、运输、保管、安装调试、验收、培训、售后服务、税金等与本项目有关的可预见及不可预见的一切成本和费用的总和，采购人不再为本项目另付其他任何费用。</w:t>
            </w:r>
          </w:p>
          <w:p w14:paraId="7F7CB501">
            <w:pPr>
              <w:pStyle w:val="12"/>
              <w:spacing w:after="0" w:line="300" w:lineRule="auto"/>
              <w:ind w:left="0" w:leftChars="0" w:firstLine="0" w:firstLineChars="0"/>
              <w:rPr>
                <w:rFonts w:ascii="宋体" w:hAnsi="宋体" w:eastAsia="仿宋_GB2312" w:cs="宋体"/>
                <w:kern w:val="2"/>
                <w:sz w:val="24"/>
                <w:szCs w:val="24"/>
              </w:rPr>
            </w:pPr>
            <w:r>
              <w:rPr>
                <w:rFonts w:hint="eastAsia" w:ascii="宋体" w:hAnsi="宋体" w:eastAsia="仿宋_GB2312" w:cs="宋体"/>
                <w:kern w:val="2"/>
                <w:sz w:val="24"/>
                <w:szCs w:val="24"/>
              </w:rPr>
              <w:t>2.</w:t>
            </w:r>
            <w:bookmarkStart w:id="0" w:name="OLE_LINK2"/>
            <w:bookmarkStart w:id="1" w:name="OLE_LINK1"/>
            <w:r>
              <w:rPr>
                <w:rFonts w:hint="eastAsia" w:ascii="宋体" w:hAnsi="宋体" w:eastAsia="仿宋_GB2312" w:cs="宋体"/>
                <w:kern w:val="2"/>
                <w:sz w:val="24"/>
                <w:szCs w:val="24"/>
              </w:rPr>
              <w:t>投标人的单价不</w:t>
            </w:r>
            <w:r>
              <w:rPr>
                <w:rFonts w:ascii="宋体" w:hAnsi="宋体" w:eastAsia="仿宋_GB2312" w:cs="宋体"/>
                <w:kern w:val="2"/>
                <w:sz w:val="24"/>
                <w:szCs w:val="24"/>
              </w:rPr>
              <w:t>能超过控制单价、</w:t>
            </w:r>
            <w:r>
              <w:rPr>
                <w:rFonts w:hint="eastAsia" w:ascii="宋体" w:hAnsi="宋体" w:eastAsia="仿宋_GB2312" w:cs="宋体"/>
                <w:kern w:val="2"/>
                <w:sz w:val="24"/>
                <w:szCs w:val="24"/>
              </w:rPr>
              <w:t>投标总价不得超过项目预算总价，否则报价无效。</w:t>
            </w:r>
            <w:bookmarkEnd w:id="0"/>
            <w:bookmarkEnd w:id="1"/>
          </w:p>
          <w:p w14:paraId="09D4790B">
            <w:pPr>
              <w:pStyle w:val="12"/>
              <w:spacing w:after="0" w:line="300" w:lineRule="auto"/>
              <w:ind w:left="0" w:leftChars="0" w:firstLine="0" w:firstLineChars="0"/>
              <w:rPr>
                <w:rFonts w:ascii="宋体" w:hAnsi="宋体" w:eastAsia="仿宋_GB2312" w:cs="Times New Roman"/>
                <w:b/>
                <w:bCs/>
                <w:kern w:val="2"/>
                <w:sz w:val="24"/>
                <w:szCs w:val="24"/>
              </w:rPr>
            </w:pPr>
            <w:r>
              <w:rPr>
                <w:rFonts w:hint="eastAsia" w:ascii="宋体" w:hAnsi="宋体" w:eastAsia="仿宋_GB2312" w:cs="Times New Roman"/>
                <w:b/>
                <w:bCs/>
                <w:kern w:val="2"/>
                <w:sz w:val="24"/>
                <w:szCs w:val="24"/>
              </w:rPr>
              <w:t>五、验收要求</w:t>
            </w:r>
          </w:p>
          <w:p w14:paraId="2FA370EA">
            <w:pPr>
              <w:pStyle w:val="12"/>
              <w:spacing w:after="0" w:line="300" w:lineRule="auto"/>
              <w:ind w:left="0" w:leftChars="0" w:firstLine="0" w:firstLineChars="0"/>
              <w:rPr>
                <w:rFonts w:ascii="宋体" w:hAnsi="宋体" w:eastAsia="仿宋_GB2312" w:cs="宋体"/>
                <w:kern w:val="2"/>
                <w:sz w:val="24"/>
                <w:szCs w:val="24"/>
              </w:rPr>
            </w:pPr>
            <w:r>
              <w:rPr>
                <w:rFonts w:hint="eastAsia" w:ascii="宋体" w:hAnsi="宋体" w:eastAsia="仿宋_GB2312" w:cs="宋体"/>
                <w:kern w:val="2"/>
                <w:sz w:val="24"/>
                <w:szCs w:val="24"/>
              </w:rPr>
              <w:t>1.成交供应商需按投标响应产品型号到采购人指定地点进行参数核验，核验不通过的按虚假应标处理，采购人有权终止合同拒收货物，并追究供应商责任，同时报相关部门备案。供应商提供的所有货物必须是2025年内生产批次的产品。</w:t>
            </w:r>
          </w:p>
          <w:p w14:paraId="4B2D1984">
            <w:pPr>
              <w:pStyle w:val="12"/>
              <w:spacing w:after="0" w:line="300" w:lineRule="auto"/>
              <w:ind w:left="0" w:leftChars="0" w:firstLine="0" w:firstLineChars="0"/>
              <w:rPr>
                <w:rFonts w:ascii="宋体" w:hAnsi="宋体" w:eastAsia="仿宋_GB2312" w:cs="宋体"/>
                <w:kern w:val="2"/>
                <w:sz w:val="24"/>
                <w:szCs w:val="24"/>
              </w:rPr>
            </w:pPr>
            <w:r>
              <w:rPr>
                <w:rFonts w:hint="eastAsia" w:ascii="宋体" w:hAnsi="宋体" w:eastAsia="仿宋_GB2312" w:cs="宋体"/>
                <w:kern w:val="2"/>
                <w:sz w:val="24"/>
                <w:szCs w:val="24"/>
              </w:rPr>
              <w:t>2.采购人对成交供应商提交的货物依据消防法规相关文件上的技术规格要求和国家有关质量标准进行现场签收，外观、说明书符合采购文件技术要求的，给予签收，不合格的不予签收。</w:t>
            </w:r>
          </w:p>
          <w:p w14:paraId="16660FA1">
            <w:pPr>
              <w:pStyle w:val="12"/>
              <w:spacing w:after="0" w:line="300" w:lineRule="auto"/>
              <w:ind w:left="0" w:leftChars="0" w:firstLine="0" w:firstLineChars="0"/>
              <w:rPr>
                <w:rFonts w:ascii="宋体" w:hAnsi="宋体" w:eastAsia="仿宋_GB2312" w:cs="宋体"/>
                <w:kern w:val="2"/>
                <w:sz w:val="24"/>
                <w:szCs w:val="24"/>
              </w:rPr>
            </w:pPr>
            <w:r>
              <w:rPr>
                <w:rFonts w:hint="eastAsia" w:ascii="宋体" w:hAnsi="宋体" w:eastAsia="仿宋_GB2312" w:cs="宋体"/>
                <w:kern w:val="2"/>
                <w:sz w:val="24"/>
                <w:szCs w:val="24"/>
              </w:rPr>
              <w:t>3.成交供应商交货前应对产品作出全面检查和对验收文件进行整理，并列出清单，作为采购人收货验收和使用的技术条件依据，检验的结果应随货物交采购人。成交供应商不能完整交付货物及本款规定的单证和工具的，必须负责补齐，否则视为未按合同约定交货。</w:t>
            </w:r>
          </w:p>
          <w:p w14:paraId="316E18BE">
            <w:pPr>
              <w:pStyle w:val="12"/>
              <w:spacing w:after="0" w:line="400" w:lineRule="exact"/>
              <w:ind w:left="0" w:leftChars="0" w:firstLine="0" w:firstLineChars="0"/>
              <w:rPr>
                <w:rFonts w:ascii="方正仿宋_GB2312" w:hAnsi="方正仿宋_GB2312" w:eastAsia="方正仿宋_GB2312" w:cs="方正仿宋_GB2312"/>
                <w:kern w:val="2"/>
                <w:sz w:val="24"/>
                <w:szCs w:val="24"/>
              </w:rPr>
            </w:pPr>
            <w:r>
              <w:rPr>
                <w:rFonts w:hint="eastAsia" w:ascii="宋体" w:hAnsi="宋体" w:cs="宋体"/>
                <w:b/>
                <w:bCs/>
                <w:szCs w:val="21"/>
              </w:rPr>
              <w:t>▲</w:t>
            </w:r>
            <w:r>
              <w:rPr>
                <w:rFonts w:hint="eastAsia" w:ascii="方正仿宋_GB2312" w:hAnsi="方正仿宋_GB2312" w:eastAsia="方正仿宋_GB2312" w:cs="方正仿宋_GB2312"/>
                <w:kern w:val="2"/>
                <w:sz w:val="24"/>
                <w:szCs w:val="24"/>
              </w:rPr>
              <w:t>4.投标时供应商必须提供消防生产或销售资质。提供的</w:t>
            </w:r>
            <w:r>
              <w:rPr>
                <w:rFonts w:hint="eastAsia" w:ascii="方正仿宋_GB2312" w:hAnsi="方正仿宋_GB2312" w:eastAsia="方正仿宋_GB2312" w:cs="方正仿宋_GB2312"/>
                <w:sz w:val="24"/>
                <w:szCs w:val="24"/>
              </w:rPr>
              <w:t>产品需符合国标：GB 6246-2011《消防水带》、3C认证等相关消防法律法规要求。</w:t>
            </w:r>
          </w:p>
          <w:p w14:paraId="59E2C4D3">
            <w:pPr>
              <w:pStyle w:val="12"/>
              <w:spacing w:after="0" w:line="300" w:lineRule="auto"/>
              <w:ind w:left="0" w:leftChars="0" w:firstLine="0" w:firstLineChars="0"/>
              <w:rPr>
                <w:rFonts w:ascii="宋体" w:hAnsi="宋体" w:eastAsia="仿宋_GB2312" w:cs="宋体"/>
                <w:kern w:val="2"/>
                <w:sz w:val="24"/>
                <w:szCs w:val="24"/>
              </w:rPr>
            </w:pPr>
            <w:r>
              <w:rPr>
                <w:rFonts w:hint="eastAsia" w:ascii="宋体" w:hAnsi="宋体" w:eastAsia="仿宋_GB2312" w:cs="宋体"/>
                <w:kern w:val="2"/>
                <w:sz w:val="24"/>
                <w:szCs w:val="24"/>
              </w:rPr>
              <w:t>5.采购人组织验收，成交供应商必须到场配合，验收合格后双方签署验收合格凭证。对技术复杂的货物，采购人可请国家认可的专业检测机构参与验收，费用由成交供应商承担。</w:t>
            </w:r>
          </w:p>
          <w:p w14:paraId="634CBFCF">
            <w:pPr>
              <w:pStyle w:val="12"/>
              <w:spacing w:after="0" w:line="300" w:lineRule="auto"/>
              <w:ind w:left="0" w:leftChars="0" w:firstLine="0" w:firstLineChars="0"/>
            </w:pPr>
            <w:r>
              <w:rPr>
                <w:rFonts w:hint="eastAsia" w:ascii="宋体" w:hAnsi="宋体" w:eastAsia="仿宋_GB2312" w:cs="宋体"/>
                <w:kern w:val="2"/>
                <w:sz w:val="24"/>
                <w:szCs w:val="24"/>
              </w:rPr>
              <w:t>6.其他未尽事宜应严格参照《关于印发广西壮族自治区政府采购项目履约验收管理办法的通知》[桂财采〔2015〕22号]以及《财政部关于进一步加强政府采购需求和履约验收管理的指导意见》[财库〔2016〕205号]规定执行。</w:t>
            </w:r>
          </w:p>
          <w:p w14:paraId="49CB83DA">
            <w:pPr>
              <w:pStyle w:val="12"/>
              <w:spacing w:after="0" w:line="300" w:lineRule="auto"/>
              <w:ind w:left="0" w:leftChars="0" w:firstLine="0" w:firstLineChars="0"/>
              <w:rPr>
                <w:rFonts w:ascii="宋体" w:hAnsi="宋体" w:eastAsia="仿宋_GB2312" w:cs="宋体"/>
                <w:kern w:val="2"/>
                <w:sz w:val="24"/>
                <w:szCs w:val="24"/>
              </w:rPr>
            </w:pPr>
            <w:r>
              <w:rPr>
                <w:rFonts w:hint="eastAsia" w:ascii="宋体" w:hAnsi="宋体" w:eastAsia="仿宋_GB2312" w:cs="宋体"/>
                <w:kern w:val="2"/>
                <w:sz w:val="24"/>
                <w:szCs w:val="24"/>
              </w:rPr>
              <w:t>7.如验收不合格及存在争议，由第三方介入核验结果产生的费用成交供应商负责。</w:t>
            </w:r>
          </w:p>
          <w:p w14:paraId="33750B87">
            <w:pPr>
              <w:pStyle w:val="2"/>
              <w:ind w:firstLine="0"/>
            </w:pPr>
            <w:r>
              <w:rPr>
                <w:rFonts w:hint="eastAsia" w:ascii="方正仿宋_GB2312" w:hAnsi="方正仿宋_GB2312" w:eastAsia="方正仿宋_GB2312" w:cs="方正仿宋_GB2312"/>
              </w:rPr>
              <w:t>8.供应商提交最终服务成果，经采购人验收合格后支付相应的服务费。</w:t>
            </w:r>
          </w:p>
        </w:tc>
      </w:tr>
    </w:tbl>
    <w:p w14:paraId="438E1EB8">
      <w:pPr>
        <w:spacing w:line="500" w:lineRule="exact"/>
        <w:ind w:firstLine="48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olor w:val="000000" w:themeColor="text1"/>
          <w:sz w:val="24"/>
          <w14:textFill>
            <w14:solidFill>
              <w14:schemeClr w14:val="tx1"/>
            </w14:solidFill>
          </w14:textFill>
        </w:rPr>
        <w:t>说明</w:t>
      </w:r>
      <w:r>
        <w:rPr>
          <w:rFonts w:hint="eastAsia" w:ascii="仿宋" w:hAnsi="仿宋" w:eastAsia="仿宋"/>
          <w:color w:val="000000" w:themeColor="text1"/>
          <w:sz w:val="24"/>
          <w:lang w:val="zh-CN"/>
          <w14:textFill>
            <w14:solidFill>
              <w14:schemeClr w14:val="tx1"/>
            </w14:solidFill>
          </w14:textFill>
        </w:rPr>
        <w:t>：</w:t>
      </w:r>
      <w:r>
        <w:rPr>
          <w:rFonts w:hint="eastAsia" w:ascii="仿宋" w:hAnsi="仿宋" w:eastAsia="仿宋"/>
          <w:sz w:val="24"/>
        </w:rPr>
        <w:t>标</w:t>
      </w:r>
      <w:r>
        <w:rPr>
          <w:rFonts w:hint="eastAsia" w:ascii="仿宋" w:hAnsi="仿宋" w:eastAsia="仿宋"/>
          <w:color w:val="000000" w:themeColor="text1"/>
          <w:sz w:val="24"/>
          <w14:textFill>
            <w14:solidFill>
              <w14:schemeClr w14:val="tx1"/>
            </w14:solidFill>
          </w14:textFill>
        </w:rPr>
        <w:t>注</w:t>
      </w:r>
      <w:r>
        <w:rPr>
          <w:rFonts w:hint="eastAsia" w:ascii="宋体" w:hAnsi="宋体" w:cs="宋体"/>
          <w:b/>
          <w:bCs/>
          <w:color w:val="000000"/>
          <w:szCs w:val="21"/>
        </w:rPr>
        <w:t>▲</w:t>
      </w:r>
      <w:r>
        <w:rPr>
          <w:rFonts w:hint="eastAsia" w:ascii="仿宋" w:hAnsi="仿宋" w:eastAsia="仿宋"/>
          <w:color w:val="000000" w:themeColor="text1"/>
          <w:sz w:val="24"/>
          <w14:textFill>
            <w14:solidFill>
              <w14:schemeClr w14:val="tx1"/>
            </w14:solidFill>
          </w14:textFill>
        </w:rPr>
        <w:t>号的内容为实质性要求和条件，对这些关键性参数配置及要求的任何不满足将导致竞价无效。未标注</w:t>
      </w:r>
      <w:r>
        <w:rPr>
          <w:rFonts w:hint="eastAsia" w:ascii="宋体" w:hAnsi="宋体" w:cs="宋体"/>
          <w:b/>
          <w:bCs/>
          <w:color w:val="000000"/>
          <w:szCs w:val="21"/>
        </w:rPr>
        <w:t>▲</w:t>
      </w:r>
      <w:r>
        <w:rPr>
          <w:rFonts w:hint="eastAsia" w:ascii="仿宋" w:hAnsi="仿宋" w:eastAsia="仿宋"/>
          <w:color w:val="000000" w:themeColor="text1"/>
          <w:sz w:val="24"/>
          <w14:textFill>
            <w14:solidFill>
              <w14:schemeClr w14:val="tx1"/>
            </w14:solidFill>
          </w14:textFill>
        </w:rPr>
        <w:t>号的内容负偏离达到</w:t>
      </w:r>
      <w:r>
        <w:rPr>
          <w:rFonts w:ascii="仿宋" w:hAnsi="仿宋" w:eastAsia="仿宋"/>
          <w:color w:val="000000" w:themeColor="text1"/>
          <w:sz w:val="24"/>
          <w14:textFill>
            <w14:solidFill>
              <w14:schemeClr w14:val="tx1"/>
            </w14:solidFill>
          </w14:textFill>
        </w:rPr>
        <w:t>2</w:t>
      </w:r>
      <w:r>
        <w:rPr>
          <w:rFonts w:hint="eastAsia" w:ascii="仿宋" w:hAnsi="仿宋" w:eastAsia="仿宋"/>
          <w:color w:val="000000" w:themeColor="text1"/>
          <w:sz w:val="24"/>
          <w14:textFill>
            <w14:solidFill>
              <w14:schemeClr w14:val="tx1"/>
            </w14:solidFill>
          </w14:textFill>
        </w:rPr>
        <w:t>项以上（含</w:t>
      </w:r>
      <w:r>
        <w:rPr>
          <w:rFonts w:ascii="仿宋" w:hAnsi="仿宋" w:eastAsia="仿宋"/>
          <w:color w:val="000000" w:themeColor="text1"/>
          <w:sz w:val="24"/>
          <w14:textFill>
            <w14:solidFill>
              <w14:schemeClr w14:val="tx1"/>
            </w14:solidFill>
          </w14:textFill>
        </w:rPr>
        <w:t>2</w:t>
      </w:r>
      <w:r>
        <w:rPr>
          <w:rFonts w:hint="eastAsia" w:ascii="仿宋" w:hAnsi="仿宋" w:eastAsia="仿宋"/>
          <w:color w:val="000000" w:themeColor="text1"/>
          <w:sz w:val="24"/>
          <w14:textFill>
            <w14:solidFill>
              <w14:schemeClr w14:val="tx1"/>
            </w14:solidFill>
          </w14:textFill>
        </w:rPr>
        <w:t>项）则被认为是实质性要求和条件不响应，作竞价无效处理。</w:t>
      </w:r>
    </w:p>
    <w:p w14:paraId="03B08417">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四、中标方式：在完全满足采购方竞价需求的投标</w:t>
      </w:r>
      <w:r>
        <w:rPr>
          <w:rFonts w:ascii="仿宋" w:hAnsi="仿宋" w:eastAsia="仿宋" w:cs="仿宋"/>
          <w:bCs/>
          <w:color w:val="000000" w:themeColor="text1"/>
          <w:sz w:val="32"/>
          <w:szCs w:val="32"/>
          <w14:textFill>
            <w14:solidFill>
              <w14:schemeClr w14:val="tx1"/>
            </w14:solidFill>
          </w14:textFill>
        </w:rPr>
        <w:t>人中</w:t>
      </w:r>
      <w:r>
        <w:rPr>
          <w:rFonts w:hint="eastAsia" w:ascii="仿宋" w:hAnsi="仿宋" w:eastAsia="仿宋" w:cs="仿宋"/>
          <w:bCs/>
          <w:color w:val="000000" w:themeColor="text1"/>
          <w:sz w:val="32"/>
          <w:szCs w:val="32"/>
          <w14:textFill>
            <w14:solidFill>
              <w14:schemeClr w14:val="tx1"/>
            </w14:solidFill>
          </w14:textFill>
        </w:rPr>
        <w:t>，报价最低者为中标供应商。</w:t>
      </w:r>
    </w:p>
    <w:p w14:paraId="40BEE86B">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五、投标文件要求：</w:t>
      </w:r>
    </w:p>
    <w:p w14:paraId="4E7597F8">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1、报价文件。应包含以</w:t>
      </w:r>
      <w:r>
        <w:rPr>
          <w:rFonts w:ascii="仿宋" w:hAnsi="仿宋" w:eastAsia="仿宋" w:cs="仿宋"/>
          <w:bCs/>
          <w:color w:val="000000" w:themeColor="text1"/>
          <w:sz w:val="32"/>
          <w:szCs w:val="32"/>
          <w14:textFill>
            <w14:solidFill>
              <w14:schemeClr w14:val="tx1"/>
            </w14:solidFill>
          </w14:textFill>
        </w:rPr>
        <w:t>下</w:t>
      </w:r>
      <w:r>
        <w:rPr>
          <w:rFonts w:hint="eastAsia" w:ascii="仿宋" w:hAnsi="仿宋" w:eastAsia="仿宋" w:cs="仿宋"/>
          <w:bCs/>
          <w:color w:val="000000" w:themeColor="text1"/>
          <w:sz w:val="32"/>
          <w:szCs w:val="32"/>
          <w14:textFill>
            <w14:solidFill>
              <w14:schemeClr w14:val="tx1"/>
            </w14:solidFill>
          </w14:textFill>
        </w:rPr>
        <w:t>材料</w:t>
      </w:r>
      <w:r>
        <w:rPr>
          <w:rFonts w:ascii="仿宋" w:hAnsi="仿宋" w:eastAsia="仿宋" w:cs="仿宋"/>
          <w:bCs/>
          <w:color w:val="000000" w:themeColor="text1"/>
          <w:sz w:val="32"/>
          <w:szCs w:val="32"/>
          <w14:textFill>
            <w14:solidFill>
              <w14:schemeClr w14:val="tx1"/>
            </w14:solidFill>
          </w14:textFill>
        </w:rPr>
        <w:t>：</w:t>
      </w:r>
    </w:p>
    <w:p w14:paraId="0A2BE672">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（1）报价表（格式</w:t>
      </w:r>
      <w:r>
        <w:rPr>
          <w:rFonts w:ascii="仿宋" w:hAnsi="仿宋" w:eastAsia="仿宋" w:cs="仿宋"/>
          <w:bCs/>
          <w:color w:val="000000" w:themeColor="text1"/>
          <w:sz w:val="32"/>
          <w:szCs w:val="32"/>
          <w14:textFill>
            <w14:solidFill>
              <w14:schemeClr w14:val="tx1"/>
            </w14:solidFill>
          </w14:textFill>
        </w:rPr>
        <w:t>自拟，</w:t>
      </w:r>
      <w:r>
        <w:rPr>
          <w:rFonts w:hint="eastAsia" w:ascii="仿宋" w:hAnsi="仿宋" w:eastAsia="仿宋" w:cs="仿宋"/>
          <w:bCs/>
          <w:color w:val="000000" w:themeColor="text1"/>
          <w:sz w:val="32"/>
          <w:szCs w:val="32"/>
          <w14:textFill>
            <w14:solidFill>
              <w14:schemeClr w14:val="tx1"/>
            </w14:solidFill>
          </w14:textFill>
        </w:rPr>
        <w:t>至少应</w:t>
      </w:r>
      <w:r>
        <w:rPr>
          <w:rFonts w:ascii="仿宋" w:hAnsi="仿宋" w:eastAsia="仿宋" w:cs="仿宋"/>
          <w:bCs/>
          <w:color w:val="000000" w:themeColor="text1"/>
          <w:sz w:val="32"/>
          <w:szCs w:val="32"/>
          <w14:textFill>
            <w14:solidFill>
              <w14:schemeClr w14:val="tx1"/>
            </w14:solidFill>
          </w14:textFill>
        </w:rPr>
        <w:t>包</w:t>
      </w:r>
      <w:r>
        <w:rPr>
          <w:rFonts w:hint="eastAsia" w:ascii="仿宋" w:hAnsi="仿宋" w:eastAsia="仿宋" w:cs="仿宋"/>
          <w:bCs/>
          <w:color w:val="000000" w:themeColor="text1"/>
          <w:sz w:val="32"/>
          <w:szCs w:val="32"/>
          <w14:textFill>
            <w14:solidFill>
              <w14:schemeClr w14:val="tx1"/>
            </w14:solidFill>
          </w14:textFill>
        </w:rPr>
        <w:t>含采购</w:t>
      </w:r>
      <w:r>
        <w:rPr>
          <w:rFonts w:hint="eastAsia" w:ascii="仿宋" w:hAnsi="仿宋" w:eastAsia="仿宋" w:cs="仿宋"/>
          <w:color w:val="000000"/>
          <w:kern w:val="0"/>
          <w:sz w:val="32"/>
          <w:szCs w:val="32"/>
          <w:lang w:bidi="ar"/>
        </w:rPr>
        <w:t>名称、单位、数量、单价、金额、</w:t>
      </w:r>
      <w:r>
        <w:rPr>
          <w:rFonts w:ascii="仿宋" w:hAnsi="仿宋" w:eastAsia="仿宋" w:cs="仿宋"/>
          <w:color w:val="000000"/>
          <w:kern w:val="0"/>
          <w:sz w:val="32"/>
          <w:szCs w:val="32"/>
          <w:lang w:bidi="ar"/>
        </w:rPr>
        <w:t>合计等内容</w:t>
      </w:r>
      <w:r>
        <w:rPr>
          <w:rFonts w:hint="eastAsia" w:ascii="仿宋" w:hAnsi="仿宋" w:eastAsia="仿宋" w:cs="仿宋"/>
          <w:bCs/>
          <w:color w:val="000000" w:themeColor="text1"/>
          <w:sz w:val="32"/>
          <w:szCs w:val="32"/>
          <w14:textFill>
            <w14:solidFill>
              <w14:schemeClr w14:val="tx1"/>
            </w14:solidFill>
          </w14:textFill>
        </w:rPr>
        <w:t xml:space="preserve">）； </w:t>
      </w:r>
    </w:p>
    <w:p w14:paraId="78C3B027">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（2）采购</w:t>
      </w:r>
      <w:r>
        <w:rPr>
          <w:rFonts w:ascii="仿宋" w:hAnsi="仿宋" w:eastAsia="仿宋" w:cs="仿宋"/>
          <w:bCs/>
          <w:color w:val="000000" w:themeColor="text1"/>
          <w:sz w:val="32"/>
          <w:szCs w:val="32"/>
          <w14:textFill>
            <w14:solidFill>
              <w14:schemeClr w14:val="tx1"/>
            </w14:solidFill>
          </w14:textFill>
        </w:rPr>
        <w:t>项目</w:t>
      </w:r>
      <w:r>
        <w:rPr>
          <w:rFonts w:hint="eastAsia" w:ascii="仿宋" w:hAnsi="仿宋" w:eastAsia="仿宋" w:cs="仿宋"/>
          <w:color w:val="000000"/>
          <w:kern w:val="0"/>
          <w:sz w:val="32"/>
          <w:szCs w:val="32"/>
          <w:lang w:bidi="ar"/>
        </w:rPr>
        <w:t>需求</w:t>
      </w:r>
      <w:r>
        <w:rPr>
          <w:rFonts w:hint="eastAsia" w:ascii="仿宋" w:hAnsi="仿宋" w:eastAsia="仿宋" w:cs="仿宋"/>
          <w:bCs/>
          <w:color w:val="000000" w:themeColor="text1"/>
          <w:sz w:val="32"/>
          <w:szCs w:val="32"/>
          <w14:textFill>
            <w14:solidFill>
              <w14:schemeClr w14:val="tx1"/>
            </w14:solidFill>
          </w14:textFill>
        </w:rPr>
        <w:t>响应</w:t>
      </w:r>
      <w:r>
        <w:rPr>
          <w:rFonts w:ascii="仿宋" w:hAnsi="仿宋" w:eastAsia="仿宋" w:cs="仿宋"/>
          <w:bCs/>
          <w:color w:val="000000" w:themeColor="text1"/>
          <w:sz w:val="32"/>
          <w:szCs w:val="32"/>
          <w14:textFill>
            <w14:solidFill>
              <w14:schemeClr w14:val="tx1"/>
            </w14:solidFill>
          </w14:textFill>
        </w:rPr>
        <w:t>文件</w:t>
      </w:r>
      <w:r>
        <w:rPr>
          <w:rFonts w:hint="eastAsia" w:ascii="仿宋" w:hAnsi="仿宋" w:eastAsia="仿宋" w:cs="仿宋"/>
          <w:bCs/>
          <w:color w:val="000000" w:themeColor="text1"/>
          <w:sz w:val="32"/>
          <w:szCs w:val="32"/>
          <w14:textFill>
            <w14:solidFill>
              <w14:schemeClr w14:val="tx1"/>
            </w14:solidFill>
          </w14:textFill>
        </w:rPr>
        <w:t>；</w:t>
      </w:r>
      <w:r>
        <w:rPr>
          <w:rFonts w:ascii="仿宋" w:hAnsi="仿宋" w:eastAsia="仿宋" w:cs="仿宋"/>
          <w:bCs/>
          <w:color w:val="000000" w:themeColor="text1"/>
          <w:sz w:val="32"/>
          <w:szCs w:val="32"/>
          <w14:textFill>
            <w14:solidFill>
              <w14:schemeClr w14:val="tx1"/>
            </w14:solidFill>
          </w14:textFill>
        </w:rPr>
        <w:t xml:space="preserve"> </w:t>
      </w:r>
    </w:p>
    <w:p w14:paraId="6BC88A2A">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2、单位营业执照；</w:t>
      </w:r>
    </w:p>
    <w:p w14:paraId="3A9D6EA4">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ascii="仿宋" w:hAnsi="仿宋" w:eastAsia="仿宋" w:cs="仿宋"/>
          <w:bCs/>
          <w:color w:val="000000" w:themeColor="text1"/>
          <w:sz w:val="32"/>
          <w:szCs w:val="32"/>
          <w14:textFill>
            <w14:solidFill>
              <w14:schemeClr w14:val="tx1"/>
            </w14:solidFill>
          </w14:textFill>
        </w:rPr>
        <w:t>3</w:t>
      </w:r>
      <w:r>
        <w:rPr>
          <w:rFonts w:hint="eastAsia" w:ascii="仿宋" w:hAnsi="仿宋" w:eastAsia="仿宋" w:cs="仿宋"/>
          <w:bCs/>
          <w:color w:val="000000" w:themeColor="text1"/>
          <w:sz w:val="32"/>
          <w:szCs w:val="32"/>
          <w14:textFill>
            <w14:solidFill>
              <w14:schemeClr w14:val="tx1"/>
            </w14:solidFill>
          </w14:textFill>
        </w:rPr>
        <w:t>、法人身份证明；</w:t>
      </w:r>
    </w:p>
    <w:p w14:paraId="364263CD">
      <w:pPr>
        <w:spacing w:line="500" w:lineRule="exact"/>
        <w:ind w:firstLine="640" w:firstLineChars="200"/>
        <w:rPr>
          <w:rFonts w:ascii="仿宋" w:hAnsi="仿宋" w:eastAsia="仿宋" w:cs="仿宋"/>
          <w:bCs/>
          <w:color w:val="000000" w:themeColor="text1"/>
          <w:sz w:val="32"/>
          <w:szCs w:val="32"/>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4、授权委托书、授权人及被委托人身份证明。</w:t>
      </w:r>
    </w:p>
    <w:p w14:paraId="01DF1AA2">
      <w:pPr>
        <w:spacing w:line="500" w:lineRule="exact"/>
        <w:ind w:firstLine="640" w:firstLineChars="200"/>
        <w:rPr>
          <w:rFonts w:ascii="仿宋" w:hAnsi="仿宋" w:eastAsia="仿宋" w:cs="仿宋"/>
          <w:bCs/>
          <w:sz w:val="32"/>
          <w:szCs w:val="32"/>
        </w:rPr>
      </w:pPr>
      <w:r>
        <w:rPr>
          <w:rFonts w:ascii="仿宋" w:hAnsi="仿宋" w:eastAsia="仿宋" w:cs="仿宋"/>
          <w:bCs/>
          <w:sz w:val="32"/>
          <w:szCs w:val="32"/>
        </w:rPr>
        <w:t>5</w:t>
      </w:r>
      <w:r>
        <w:rPr>
          <w:rFonts w:hint="eastAsia" w:ascii="仿宋" w:hAnsi="仿宋" w:eastAsia="仿宋" w:cs="仿宋"/>
          <w:bCs/>
          <w:sz w:val="32"/>
          <w:szCs w:val="32"/>
        </w:rPr>
        <w:t>、服务承诺书（格式自拟）。</w:t>
      </w:r>
    </w:p>
    <w:p w14:paraId="6BFBDB5F">
      <w:pPr>
        <w:pStyle w:val="8"/>
        <w:spacing w:line="500" w:lineRule="exact"/>
        <w:ind w:firstLine="640" w:firstLineChars="200"/>
        <w:rPr>
          <w:rFonts w:hAnsi="宋体"/>
          <w:color w:val="000000" w:themeColor="text1"/>
          <w14:textFill>
            <w14:solidFill>
              <w14:schemeClr w14:val="tx1"/>
            </w14:solidFill>
          </w14:textFill>
        </w:rPr>
      </w:pPr>
      <w:r>
        <w:rPr>
          <w:rFonts w:hint="eastAsia" w:ascii="仿宋" w:hAnsi="仿宋" w:eastAsia="仿宋" w:cs="仿宋"/>
          <w:bCs/>
          <w:color w:val="000000" w:themeColor="text1"/>
          <w:sz w:val="32"/>
          <w:szCs w:val="32"/>
          <w14:textFill>
            <w14:solidFill>
              <w14:schemeClr w14:val="tx1"/>
            </w14:solidFill>
          </w14:textFill>
        </w:rPr>
        <w:t>备注：请按以上要求提供相关材料并</w:t>
      </w:r>
      <w:r>
        <w:rPr>
          <w:rFonts w:ascii="仿宋" w:hAnsi="仿宋" w:eastAsia="仿宋" w:cs="仿宋"/>
          <w:bCs/>
          <w:color w:val="000000" w:themeColor="text1"/>
          <w:sz w:val="32"/>
          <w:szCs w:val="32"/>
          <w14:textFill>
            <w14:solidFill>
              <w14:schemeClr w14:val="tx1"/>
            </w14:solidFill>
          </w14:textFill>
        </w:rPr>
        <w:t>加盖公章</w:t>
      </w:r>
      <w:r>
        <w:rPr>
          <w:rFonts w:hint="eastAsia" w:ascii="仿宋" w:hAnsi="仿宋" w:eastAsia="仿宋" w:cs="仿宋"/>
          <w:bCs/>
          <w:color w:val="000000" w:themeColor="text1"/>
          <w:sz w:val="32"/>
          <w:szCs w:val="32"/>
          <w14:textFill>
            <w14:solidFill>
              <w14:schemeClr w14:val="tx1"/>
            </w14:solidFill>
          </w14:textFill>
        </w:rPr>
        <w:t>、密封递交，否则竞价无效。</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仿宋_GB2312">
    <w:altName w:val="仿宋"/>
    <w:panose1 w:val="00000000000000000000"/>
    <w:charset w:val="86"/>
    <w:family w:val="auto"/>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Arial">
    <w:panose1 w:val="020B0604020202020204"/>
    <w:charset w:val="00"/>
    <w:family w:val="swiss"/>
    <w:pitch w:val="default"/>
    <w:sig w:usb0="E0002EFF" w:usb1="C000785B" w:usb2="00000009" w:usb3="00000000" w:csb0="400001FF" w:csb1="FFFF0000"/>
  </w:font>
  <w:font w:name="微软雅黑">
    <w:panose1 w:val="020B0503020204020204"/>
    <w:charset w:val="86"/>
    <w:family w:val="swiss"/>
    <w:pitch w:val="default"/>
    <w:sig w:usb0="80000287" w:usb1="2ACF3C50" w:usb2="00000016" w:usb3="00000000" w:csb0="0004001F" w:csb1="00000000"/>
  </w:font>
  <w:font w:name="Courier New">
    <w:panose1 w:val="02070309020205020404"/>
    <w:charset w:val="00"/>
    <w:family w:val="modern"/>
    <w:pitch w:val="default"/>
    <w:sig w:usb0="E0002EFF" w:usb1="C0007843" w:usb2="00000009" w:usb3="00000000" w:csb0="400001FF" w:csb1="FFFF0000"/>
  </w:font>
  <w:font w:name="方正仿宋_GB2312">
    <w:altName w:val="仿宋"/>
    <w:panose1 w:val="00000000000000000000"/>
    <w:charset w:val="86"/>
    <w:family w:val="auto"/>
    <w:pitch w:val="default"/>
    <w:sig w:usb0="00000000" w:usb1="00000000" w:usb2="00000012" w:usb3="00000000" w:csb0="0004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3591D2B"/>
    <w:multiLevelType w:val="singleLevel"/>
    <w:tmpl w:val="B3591D2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NmE5OTdjZGQ5ZTc4Nzk5MjE5NTJkMDk3N2ViNTU4ODQifQ=="/>
  </w:docVars>
  <w:rsids>
    <w:rsidRoot w:val="009167D4"/>
    <w:rsid w:val="00036C20"/>
    <w:rsid w:val="00063E09"/>
    <w:rsid w:val="000D56FC"/>
    <w:rsid w:val="000E241F"/>
    <w:rsid w:val="000F2B2E"/>
    <w:rsid w:val="001639EB"/>
    <w:rsid w:val="001729F8"/>
    <w:rsid w:val="00173E1A"/>
    <w:rsid w:val="00176A73"/>
    <w:rsid w:val="0018271B"/>
    <w:rsid w:val="00184C72"/>
    <w:rsid w:val="001971DA"/>
    <w:rsid w:val="001D5A94"/>
    <w:rsid w:val="002269A7"/>
    <w:rsid w:val="002303E7"/>
    <w:rsid w:val="00243826"/>
    <w:rsid w:val="00247A84"/>
    <w:rsid w:val="002716D9"/>
    <w:rsid w:val="00296A4C"/>
    <w:rsid w:val="002C5FF3"/>
    <w:rsid w:val="002C7C9A"/>
    <w:rsid w:val="002F67C4"/>
    <w:rsid w:val="0030143D"/>
    <w:rsid w:val="0039566A"/>
    <w:rsid w:val="00400C34"/>
    <w:rsid w:val="004136D9"/>
    <w:rsid w:val="004138D3"/>
    <w:rsid w:val="00416E5B"/>
    <w:rsid w:val="00434189"/>
    <w:rsid w:val="004518C4"/>
    <w:rsid w:val="00462BEF"/>
    <w:rsid w:val="00485B52"/>
    <w:rsid w:val="004A4A95"/>
    <w:rsid w:val="004D7EA8"/>
    <w:rsid w:val="005202EC"/>
    <w:rsid w:val="005620AB"/>
    <w:rsid w:val="005A204A"/>
    <w:rsid w:val="005B3821"/>
    <w:rsid w:val="005B7E6D"/>
    <w:rsid w:val="005E61F0"/>
    <w:rsid w:val="00616383"/>
    <w:rsid w:val="00673B0F"/>
    <w:rsid w:val="0069086E"/>
    <w:rsid w:val="006C743C"/>
    <w:rsid w:val="006F178C"/>
    <w:rsid w:val="007420E1"/>
    <w:rsid w:val="0075084A"/>
    <w:rsid w:val="007662F0"/>
    <w:rsid w:val="007A492E"/>
    <w:rsid w:val="00800946"/>
    <w:rsid w:val="00815556"/>
    <w:rsid w:val="00851CF8"/>
    <w:rsid w:val="008529A8"/>
    <w:rsid w:val="008607DE"/>
    <w:rsid w:val="00896F5B"/>
    <w:rsid w:val="008A1B1B"/>
    <w:rsid w:val="008D4ECD"/>
    <w:rsid w:val="008D6248"/>
    <w:rsid w:val="008F65FE"/>
    <w:rsid w:val="009167D4"/>
    <w:rsid w:val="009475ED"/>
    <w:rsid w:val="00961033"/>
    <w:rsid w:val="00984EFD"/>
    <w:rsid w:val="009929C5"/>
    <w:rsid w:val="009A2799"/>
    <w:rsid w:val="009D1F1D"/>
    <w:rsid w:val="009D6309"/>
    <w:rsid w:val="009E14AE"/>
    <w:rsid w:val="00A2055C"/>
    <w:rsid w:val="00A401E6"/>
    <w:rsid w:val="00A40AAB"/>
    <w:rsid w:val="00A41CAB"/>
    <w:rsid w:val="00AB20A4"/>
    <w:rsid w:val="00AB7C51"/>
    <w:rsid w:val="00AF4B4A"/>
    <w:rsid w:val="00B11EEA"/>
    <w:rsid w:val="00B4571B"/>
    <w:rsid w:val="00B6487F"/>
    <w:rsid w:val="00B92D00"/>
    <w:rsid w:val="00B9350D"/>
    <w:rsid w:val="00BB3EC0"/>
    <w:rsid w:val="00BD49F3"/>
    <w:rsid w:val="00BF169F"/>
    <w:rsid w:val="00C307AD"/>
    <w:rsid w:val="00C376F2"/>
    <w:rsid w:val="00C57120"/>
    <w:rsid w:val="00CD78B8"/>
    <w:rsid w:val="00CE23FD"/>
    <w:rsid w:val="00CF54AC"/>
    <w:rsid w:val="00CF5AFD"/>
    <w:rsid w:val="00D16DBB"/>
    <w:rsid w:val="00D46A64"/>
    <w:rsid w:val="00D84016"/>
    <w:rsid w:val="00DA0293"/>
    <w:rsid w:val="00DA25AB"/>
    <w:rsid w:val="00DA6FF6"/>
    <w:rsid w:val="00DB4CD9"/>
    <w:rsid w:val="00DC01E6"/>
    <w:rsid w:val="00DC1528"/>
    <w:rsid w:val="00DC2478"/>
    <w:rsid w:val="00EA3E1B"/>
    <w:rsid w:val="00EA74DD"/>
    <w:rsid w:val="00EB12B7"/>
    <w:rsid w:val="00F33FF9"/>
    <w:rsid w:val="00F57435"/>
    <w:rsid w:val="00F726BD"/>
    <w:rsid w:val="00F8350D"/>
    <w:rsid w:val="00F96D99"/>
    <w:rsid w:val="026D19A1"/>
    <w:rsid w:val="036A7762"/>
    <w:rsid w:val="04C17184"/>
    <w:rsid w:val="07736802"/>
    <w:rsid w:val="09931095"/>
    <w:rsid w:val="10E76449"/>
    <w:rsid w:val="1156235E"/>
    <w:rsid w:val="12916AA7"/>
    <w:rsid w:val="13E366FD"/>
    <w:rsid w:val="153E1E76"/>
    <w:rsid w:val="1990455A"/>
    <w:rsid w:val="19E80D41"/>
    <w:rsid w:val="1FAA6ACB"/>
    <w:rsid w:val="28FA37A1"/>
    <w:rsid w:val="2B030658"/>
    <w:rsid w:val="2CD23AFF"/>
    <w:rsid w:val="2D4F33A1"/>
    <w:rsid w:val="303135DC"/>
    <w:rsid w:val="32DA370D"/>
    <w:rsid w:val="368C11C2"/>
    <w:rsid w:val="37465815"/>
    <w:rsid w:val="375A6BCB"/>
    <w:rsid w:val="3A976A49"/>
    <w:rsid w:val="3C712944"/>
    <w:rsid w:val="44054526"/>
    <w:rsid w:val="51517CA6"/>
    <w:rsid w:val="51C863B9"/>
    <w:rsid w:val="52A643CC"/>
    <w:rsid w:val="54F24358"/>
    <w:rsid w:val="59FD7B5D"/>
    <w:rsid w:val="5BFB234F"/>
    <w:rsid w:val="5D105201"/>
    <w:rsid w:val="5FE07241"/>
    <w:rsid w:val="5FEF1CF6"/>
    <w:rsid w:val="6210138C"/>
    <w:rsid w:val="631A352E"/>
    <w:rsid w:val="63E42AF9"/>
    <w:rsid w:val="688C334A"/>
    <w:rsid w:val="690620A4"/>
    <w:rsid w:val="6A3241A0"/>
    <w:rsid w:val="6B2D21E8"/>
    <w:rsid w:val="6D943EDD"/>
    <w:rsid w:val="763D6A0D"/>
    <w:rsid w:val="79847407"/>
    <w:rsid w:val="7D5939C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nhideWhenUsed="0" w:uiPriority="0" w:semiHidden="0"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qFormat="1" w:unhideWhenUsed="0" w:uiPriority="0" w:semiHidden="0"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qFormat="1" w:unhideWhenUsed="0" w:uiPriority="0"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autoRedefine/>
    <w:qFormat/>
    <w:uiPriority w:val="0"/>
    <w:pPr>
      <w:widowControl w:val="0"/>
      <w:jc w:val="both"/>
    </w:pPr>
    <w:rPr>
      <w:rFonts w:ascii="Calibri" w:hAnsi="Calibri" w:eastAsia="宋体" w:cs="Times New Roman"/>
      <w:kern w:val="2"/>
      <w:sz w:val="21"/>
      <w:szCs w:val="24"/>
      <w:lang w:val="en-US" w:eastAsia="zh-CN" w:bidi="ar-SA"/>
    </w:rPr>
  </w:style>
  <w:style w:type="character" w:default="1" w:styleId="15">
    <w:name w:val="Default Paragraph Font"/>
    <w:semiHidden/>
    <w:unhideWhenUsed/>
    <w:uiPriority w:val="1"/>
  </w:style>
  <w:style w:type="table" w:default="1" w:styleId="13">
    <w:name w:val="Normal Table"/>
    <w:semiHidden/>
    <w:unhideWhenUsed/>
    <w:uiPriority w:val="99"/>
    <w:tblPr>
      <w:tblCellMar>
        <w:top w:w="0" w:type="dxa"/>
        <w:left w:w="108" w:type="dxa"/>
        <w:bottom w:w="0" w:type="dxa"/>
        <w:right w:w="108" w:type="dxa"/>
      </w:tblCellMar>
    </w:tblPr>
  </w:style>
  <w:style w:type="paragraph" w:styleId="2">
    <w:name w:val="Body Text First Indent"/>
    <w:basedOn w:val="3"/>
    <w:qFormat/>
    <w:uiPriority w:val="0"/>
    <w:pPr>
      <w:spacing w:after="0" w:line="360" w:lineRule="auto"/>
      <w:ind w:firstLine="420"/>
    </w:pPr>
    <w:rPr>
      <w:rFonts w:ascii="宋体" w:hAnsi="宋体" w:eastAsia="仿宋_GB2312"/>
      <w:sz w:val="24"/>
    </w:rPr>
  </w:style>
  <w:style w:type="paragraph" w:styleId="3">
    <w:name w:val="Body Text"/>
    <w:basedOn w:val="1"/>
    <w:link w:val="20"/>
    <w:autoRedefine/>
    <w:qFormat/>
    <w:uiPriority w:val="0"/>
    <w:pPr>
      <w:spacing w:after="120"/>
    </w:pPr>
  </w:style>
  <w:style w:type="paragraph" w:styleId="4">
    <w:name w:val="Normal Indent"/>
    <w:basedOn w:val="1"/>
    <w:autoRedefine/>
    <w:qFormat/>
    <w:uiPriority w:val="99"/>
    <w:pPr>
      <w:ind w:firstLine="420" w:firstLineChars="200"/>
    </w:pPr>
  </w:style>
  <w:style w:type="paragraph" w:styleId="5">
    <w:name w:val="annotation text"/>
    <w:basedOn w:val="1"/>
    <w:autoRedefine/>
    <w:qFormat/>
    <w:uiPriority w:val="0"/>
    <w:pPr>
      <w:jc w:val="left"/>
    </w:pPr>
  </w:style>
  <w:style w:type="paragraph" w:styleId="6">
    <w:name w:val="Body Text Indent"/>
    <w:basedOn w:val="1"/>
    <w:next w:val="7"/>
    <w:qFormat/>
    <w:uiPriority w:val="0"/>
    <w:pPr>
      <w:ind w:firstLine="830" w:firstLineChars="352"/>
    </w:pPr>
    <w:rPr>
      <w:rFonts w:ascii="仿宋_GB2312" w:eastAsia="仿宋_GB2312"/>
      <w:kern w:val="0"/>
      <w:sz w:val="32"/>
      <w:szCs w:val="20"/>
    </w:rPr>
  </w:style>
  <w:style w:type="paragraph" w:styleId="7">
    <w:name w:val="envelope return"/>
    <w:basedOn w:val="1"/>
    <w:qFormat/>
    <w:uiPriority w:val="0"/>
    <w:pPr>
      <w:widowControl/>
      <w:adjustRightInd w:val="0"/>
      <w:snapToGrid w:val="0"/>
      <w:spacing w:after="200"/>
      <w:jc w:val="left"/>
    </w:pPr>
    <w:rPr>
      <w:rFonts w:ascii="Arial" w:hAnsi="Arial" w:eastAsia="微软雅黑"/>
      <w:kern w:val="0"/>
      <w:sz w:val="22"/>
      <w:szCs w:val="22"/>
    </w:rPr>
  </w:style>
  <w:style w:type="paragraph" w:styleId="8">
    <w:name w:val="Plain Text"/>
    <w:basedOn w:val="1"/>
    <w:link w:val="18"/>
    <w:autoRedefine/>
    <w:qFormat/>
    <w:uiPriority w:val="0"/>
    <w:rPr>
      <w:rFonts w:ascii="宋体" w:hAnsi="Courier New" w:cstheme="minorBidi"/>
      <w:szCs w:val="22"/>
    </w:rPr>
  </w:style>
  <w:style w:type="paragraph" w:styleId="9">
    <w:name w:val="footer"/>
    <w:basedOn w:val="1"/>
    <w:link w:val="17"/>
    <w:autoRedefine/>
    <w:unhideWhenUsed/>
    <w:qFormat/>
    <w:uiPriority w:val="99"/>
    <w:pPr>
      <w:tabs>
        <w:tab w:val="center" w:pos="4153"/>
        <w:tab w:val="right" w:pos="8306"/>
      </w:tabs>
      <w:snapToGrid w:val="0"/>
      <w:jc w:val="left"/>
    </w:pPr>
    <w:rPr>
      <w:rFonts w:asciiTheme="minorHAnsi" w:hAnsiTheme="minorHAnsi" w:eastAsiaTheme="minorEastAsia" w:cstheme="minorBidi"/>
      <w:sz w:val="18"/>
      <w:szCs w:val="18"/>
    </w:rPr>
  </w:style>
  <w:style w:type="paragraph" w:styleId="10">
    <w:name w:val="header"/>
    <w:basedOn w:val="1"/>
    <w:link w:val="16"/>
    <w:autoRedefine/>
    <w:unhideWhenUsed/>
    <w:qFormat/>
    <w:uiPriority w:val="99"/>
    <w:pPr>
      <w:pBdr>
        <w:bottom w:val="single" w:color="auto" w:sz="6" w:space="1"/>
      </w:pBdr>
      <w:tabs>
        <w:tab w:val="center" w:pos="4153"/>
        <w:tab w:val="right" w:pos="8306"/>
      </w:tabs>
      <w:snapToGrid w:val="0"/>
      <w:jc w:val="center"/>
    </w:pPr>
    <w:rPr>
      <w:rFonts w:asciiTheme="minorHAnsi" w:hAnsiTheme="minorHAnsi" w:eastAsiaTheme="minorEastAsia" w:cstheme="minorBidi"/>
      <w:sz w:val="18"/>
      <w:szCs w:val="18"/>
    </w:rPr>
  </w:style>
  <w:style w:type="paragraph" w:styleId="11">
    <w:name w:val="Normal (Web)"/>
    <w:basedOn w:val="1"/>
    <w:autoRedefine/>
    <w:unhideWhenUsed/>
    <w:qFormat/>
    <w:uiPriority w:val="99"/>
    <w:pPr>
      <w:widowControl/>
      <w:spacing w:before="100" w:beforeAutospacing="1" w:after="100" w:afterAutospacing="1"/>
      <w:jc w:val="left"/>
    </w:pPr>
    <w:rPr>
      <w:rFonts w:ascii="宋体" w:hAnsi="宋体" w:cs="宋体"/>
      <w:kern w:val="0"/>
      <w:sz w:val="24"/>
    </w:rPr>
  </w:style>
  <w:style w:type="paragraph" w:styleId="12">
    <w:name w:val="Body Text First Indent 2"/>
    <w:basedOn w:val="6"/>
    <w:next w:val="2"/>
    <w:qFormat/>
    <w:uiPriority w:val="0"/>
    <w:pPr>
      <w:spacing w:after="120"/>
      <w:ind w:left="420" w:leftChars="200" w:firstLine="420" w:firstLineChars="200"/>
    </w:pPr>
    <w:rPr>
      <w:rFonts w:ascii="黑体" w:eastAsia="黑体" w:cs="Courier New"/>
      <w:sz w:val="20"/>
    </w:rPr>
  </w:style>
  <w:style w:type="table" w:styleId="14">
    <w:name w:val="Table Grid"/>
    <w:basedOn w:val="13"/>
    <w:autoRedefine/>
    <w:qFormat/>
    <w:uiPriority w:val="0"/>
    <w:pPr>
      <w:widowControl w:val="0"/>
      <w:jc w:val="both"/>
    </w:pPr>
    <w:rPr>
      <w:rFonts w:ascii="Calibri" w:hAnsi="Calibri"/>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6">
    <w:name w:val="页眉 Char"/>
    <w:basedOn w:val="15"/>
    <w:link w:val="10"/>
    <w:autoRedefine/>
    <w:qFormat/>
    <w:uiPriority w:val="99"/>
    <w:rPr>
      <w:sz w:val="18"/>
      <w:szCs w:val="18"/>
    </w:rPr>
  </w:style>
  <w:style w:type="character" w:customStyle="1" w:styleId="17">
    <w:name w:val="页脚 Char"/>
    <w:basedOn w:val="15"/>
    <w:link w:val="9"/>
    <w:autoRedefine/>
    <w:qFormat/>
    <w:uiPriority w:val="99"/>
    <w:rPr>
      <w:sz w:val="18"/>
      <w:szCs w:val="18"/>
    </w:rPr>
  </w:style>
  <w:style w:type="character" w:customStyle="1" w:styleId="18">
    <w:name w:val="纯文本 Char"/>
    <w:link w:val="8"/>
    <w:autoRedefine/>
    <w:qFormat/>
    <w:uiPriority w:val="0"/>
    <w:rPr>
      <w:rFonts w:ascii="宋体" w:hAnsi="Courier New" w:eastAsia="宋体"/>
    </w:rPr>
  </w:style>
  <w:style w:type="character" w:customStyle="1" w:styleId="19">
    <w:name w:val="纯文本 Char1"/>
    <w:basedOn w:val="15"/>
    <w:autoRedefine/>
    <w:semiHidden/>
    <w:qFormat/>
    <w:uiPriority w:val="99"/>
    <w:rPr>
      <w:rFonts w:ascii="宋体" w:hAnsi="Courier New" w:eastAsia="宋体" w:cs="Courier New"/>
      <w:szCs w:val="21"/>
    </w:rPr>
  </w:style>
  <w:style w:type="character" w:customStyle="1" w:styleId="20">
    <w:name w:val="正文文本 Char"/>
    <w:basedOn w:val="15"/>
    <w:link w:val="3"/>
    <w:autoRedefine/>
    <w:qFormat/>
    <w:uiPriority w:val="0"/>
    <w:rPr>
      <w:rFonts w:ascii="Calibri" w:hAnsi="Calibri"/>
      <w:kern w:val="2"/>
      <w:sz w:val="21"/>
      <w:szCs w:val="24"/>
    </w:rPr>
  </w:style>
  <w:style w:type="character" w:customStyle="1" w:styleId="21">
    <w:name w:val="font11"/>
    <w:basedOn w:val="15"/>
    <w:autoRedefine/>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D418458-A95F-4C8C-859A-672816569FDF}">
  <ds:schemaRefs/>
</ds:datastoreItem>
</file>

<file path=docProps/app.xml><?xml version="1.0" encoding="utf-8"?>
<Properties xmlns="http://schemas.openxmlformats.org/officeDocument/2006/extended-properties" xmlns:vt="http://schemas.openxmlformats.org/officeDocument/2006/docPropsVTypes">
  <Template>Normal</Template>
  <Company>Organization</Company>
  <Pages>4</Pages>
  <Words>2004</Words>
  <Characters>2161</Characters>
  <Lines>17</Lines>
  <Paragraphs>4</Paragraphs>
  <TotalTime>5</TotalTime>
  <ScaleCrop>false</ScaleCrop>
  <LinksUpToDate>false</LinksUpToDate>
  <CharactersWithSpaces>2271</CharactersWithSpaces>
  <Application>WPS Office_12.1.0.21171_F1E327BC-269C-435d-A152-05C5408002CA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2025-06-06T08:55:00Z</dcterms:created>
  <dc:creator>南宁市卫生学校:南宁市卫生学校</dc:creator>
  <cp:lastModifiedBy>杨超芬</cp:lastModifiedBy>
  <dcterms:modified xsi:type="dcterms:W3CDTF">2025-06-12T08:42:34Z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2052-12.1.0.21171</vt:lpwstr>
  </property>
  <property fmtid="{D5CDD505-2E9C-101B-9397-08002B2CF9AE}" pid="3" name="ICV">
    <vt:lpwstr>C38AA020EE02492CA802B0ED04B1ABFE_12</vt:lpwstr>
  </property>
  <property fmtid="{D5CDD505-2E9C-101B-9397-08002B2CF9AE}" pid="4" name="KSOTemplateDocerSaveRecord">
    <vt:lpwstr>eyJoZGlkIjoiYzUyMzYwMjNhYzY1ZmQ1OWUyMWFjYzYyNDM1MGMwNzciLCJ1c2VySWQiOiIxNjQ5MTg0MTYzIn0=</vt:lpwstr>
  </property>
</Properties>
</file>